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Times New Roman"/>
          <w:kern w:val="2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sz w:val="48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44"/>
          <w:lang w:val="zh-CN"/>
        </w:rPr>
      </w:pPr>
      <w:r>
        <w:rPr>
          <w:rFonts w:hint="eastAsia" w:ascii="Times New Roman" w:hAnsi="Times New Roman" w:eastAsia="方正小标宋简体"/>
          <w:sz w:val="48"/>
          <w:lang w:val="zh-CN"/>
        </w:rPr>
        <w:t>天津博物馆</w:t>
      </w: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  <w:r>
        <w:rPr>
          <w:rFonts w:ascii="Times New Roman" w:hAnsi="Times New Roman" w:eastAsia="方正小标宋简体"/>
          <w:sz w:val="48"/>
          <w:lang w:val="zh-CN"/>
        </w:rPr>
        <w:t>2025</w:t>
      </w:r>
      <w:r>
        <w:rPr>
          <w:rFonts w:hint="eastAsia" w:ascii="Times New Roman" w:hAnsi="Times New Roman" w:eastAsia="方正小标宋简体"/>
          <w:sz w:val="48"/>
          <w:lang w:val="zh-CN"/>
        </w:rPr>
        <w:t>年单位预算</w:t>
      </w: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both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44"/>
        </w:rPr>
      </w:pPr>
    </w:p>
    <w:p>
      <w:pPr>
        <w:spacing w:line="600" w:lineRule="exact"/>
        <w:jc w:val="center"/>
        <w:rPr>
          <w:rFonts w:ascii="Times New Roman" w:hAnsi="Times New Roman" w:eastAsia="黑体"/>
          <w:kern w:val="2"/>
          <w:sz w:val="44"/>
        </w:rPr>
      </w:pPr>
      <w:r>
        <w:rPr>
          <w:rFonts w:hint="eastAsia" w:ascii="Times New Roman" w:hAnsi="Times New Roman" w:eastAsia="黑体"/>
          <w:kern w:val="2"/>
          <w:sz w:val="44"/>
        </w:rPr>
        <w:t>目</w:t>
      </w:r>
      <w:r>
        <w:rPr>
          <w:rFonts w:ascii="Times New Roman" w:hAnsi="Times New Roman" w:eastAsia="黑体"/>
          <w:kern w:val="2"/>
          <w:sz w:val="44"/>
        </w:rPr>
        <w:t xml:space="preserve">   </w:t>
      </w:r>
      <w:r>
        <w:rPr>
          <w:rFonts w:hint="eastAsia" w:ascii="Times New Roman" w:hAnsi="Times New Roman" w:eastAsia="黑体"/>
          <w:kern w:val="2"/>
          <w:sz w:val="44"/>
        </w:rPr>
        <w:t>录</w:t>
      </w:r>
    </w:p>
    <w:p>
      <w:pPr>
        <w:keepNext/>
        <w:keepLines/>
        <w:spacing w:line="600" w:lineRule="exact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spacing w:line="600" w:lineRule="exact"/>
        <w:jc w:val="both"/>
        <w:rPr>
          <w:rFonts w:ascii="Times New Roman" w:hAnsi="Times New Roman" w:eastAsia="仿宋_GB2312"/>
          <w:b/>
          <w:kern w:val="2"/>
          <w:sz w:val="30"/>
        </w:rPr>
      </w:pPr>
      <w:r>
        <w:rPr>
          <w:rFonts w:hint="eastAsia" w:ascii="Times New Roman" w:hAnsi="Times New Roman" w:eastAsia="仿宋_GB2312"/>
          <w:b/>
          <w:kern w:val="2"/>
          <w:sz w:val="30"/>
        </w:rPr>
        <w:t>第一部分</w:t>
      </w:r>
      <w:r>
        <w:rPr>
          <w:rFonts w:ascii="Times New Roman" w:hAnsi="Times New Roman" w:eastAsia="仿宋_GB2312"/>
          <w:b/>
          <w:kern w:val="2"/>
          <w:sz w:val="30"/>
        </w:rPr>
        <w:t xml:space="preserve">  </w:t>
      </w:r>
      <w:r>
        <w:rPr>
          <w:rFonts w:hint="eastAsia" w:ascii="Times New Roman" w:hAnsi="Times New Roman" w:eastAsia="仿宋_GB2312"/>
          <w:b/>
          <w:kern w:val="2"/>
          <w:sz w:val="30"/>
        </w:rPr>
        <w:t>概</w:t>
      </w:r>
      <w:r>
        <w:rPr>
          <w:rFonts w:ascii="Times New Roman" w:hAnsi="Times New Roman" w:eastAsia="仿宋_GB2312"/>
          <w:b/>
          <w:kern w:val="2"/>
          <w:sz w:val="30"/>
        </w:rPr>
        <w:t xml:space="preserve"> </w:t>
      </w:r>
      <w:r>
        <w:rPr>
          <w:rFonts w:hint="eastAsia" w:ascii="Times New Roman" w:hAnsi="Times New Roman" w:eastAsia="仿宋_GB2312"/>
          <w:b/>
          <w:kern w:val="2"/>
          <w:sz w:val="30"/>
        </w:rPr>
        <w:t>况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一、主要职责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二、机构设置情况</w:t>
      </w:r>
    </w:p>
    <w:p>
      <w:pPr>
        <w:spacing w:line="600" w:lineRule="exact"/>
        <w:jc w:val="both"/>
        <w:rPr>
          <w:rFonts w:ascii="Times New Roman" w:hAnsi="Times New Roman" w:eastAsia="仿宋_GB2312"/>
          <w:b/>
          <w:kern w:val="2"/>
          <w:sz w:val="30"/>
        </w:rPr>
      </w:pPr>
      <w:r>
        <w:rPr>
          <w:rFonts w:hint="eastAsia" w:ascii="Times New Roman" w:hAnsi="Times New Roman" w:eastAsia="仿宋_GB2312"/>
          <w:b/>
          <w:kern w:val="2"/>
          <w:sz w:val="30"/>
        </w:rPr>
        <w:t>第二部分</w:t>
      </w:r>
      <w:r>
        <w:rPr>
          <w:rFonts w:ascii="Times New Roman" w:hAnsi="Times New Roman" w:eastAsia="仿宋_GB2312"/>
          <w:b/>
          <w:kern w:val="2"/>
          <w:sz w:val="30"/>
        </w:rPr>
        <w:t xml:space="preserve">  2025</w:t>
      </w:r>
      <w:r>
        <w:rPr>
          <w:rFonts w:hint="eastAsia" w:ascii="Times New Roman" w:hAnsi="Times New Roman" w:eastAsia="仿宋_GB2312"/>
          <w:b/>
          <w:kern w:val="2"/>
          <w:sz w:val="30"/>
        </w:rPr>
        <w:t>年单位预算情况说明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一、关于收支总体情况表的说明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二、关于收入总体情况表的说明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三、关于支出总体情况表的说明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四、关于财政拨款收支总体情况表的说明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五、关于一般公共预算支出情况表的说明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六、关于一般公共预算基本支出情况表的说明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七、关于一般公共预算“三公”经费支出情况表的说明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八、关于政府性基金预算支出情况表的说明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九、关于国有资本经营预算支出情况表的说明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十、其他重要事项的情况说明</w:t>
      </w:r>
    </w:p>
    <w:p>
      <w:pPr>
        <w:spacing w:line="600" w:lineRule="exact"/>
        <w:jc w:val="both"/>
        <w:rPr>
          <w:rFonts w:ascii="Times New Roman" w:hAnsi="Times New Roman" w:eastAsia="仿宋_GB2312"/>
          <w:b/>
          <w:kern w:val="2"/>
          <w:sz w:val="30"/>
        </w:rPr>
      </w:pPr>
      <w:r>
        <w:rPr>
          <w:rFonts w:hint="eastAsia" w:ascii="Times New Roman" w:hAnsi="Times New Roman" w:eastAsia="仿宋_GB2312"/>
          <w:b/>
          <w:kern w:val="2"/>
          <w:sz w:val="30"/>
        </w:rPr>
        <w:t>第三部分</w:t>
      </w:r>
      <w:r>
        <w:rPr>
          <w:rFonts w:ascii="Times New Roman" w:hAnsi="Times New Roman" w:eastAsia="仿宋_GB2312"/>
          <w:b/>
          <w:kern w:val="2"/>
          <w:sz w:val="30"/>
        </w:rPr>
        <w:t xml:space="preserve">  </w:t>
      </w:r>
      <w:r>
        <w:rPr>
          <w:rFonts w:hint="eastAsia" w:ascii="Times New Roman" w:hAnsi="Times New Roman" w:eastAsia="仿宋_GB2312"/>
          <w:b/>
          <w:kern w:val="2"/>
          <w:sz w:val="30"/>
        </w:rPr>
        <w:t>名词解释</w:t>
      </w:r>
    </w:p>
    <w:p>
      <w:pPr>
        <w:spacing w:line="600" w:lineRule="exact"/>
        <w:jc w:val="both"/>
        <w:rPr>
          <w:rFonts w:ascii="Times New Roman" w:hAnsi="Times New Roman" w:eastAsia="仿宋_GB2312"/>
          <w:b/>
          <w:kern w:val="2"/>
          <w:sz w:val="30"/>
        </w:rPr>
      </w:pPr>
      <w:r>
        <w:rPr>
          <w:rFonts w:hint="eastAsia" w:ascii="Times New Roman" w:hAnsi="Times New Roman" w:eastAsia="仿宋_GB2312"/>
          <w:b/>
          <w:kern w:val="2"/>
          <w:sz w:val="30"/>
        </w:rPr>
        <w:t>第四部分</w:t>
      </w:r>
      <w:r>
        <w:rPr>
          <w:rFonts w:ascii="Times New Roman" w:hAnsi="Times New Roman" w:eastAsia="仿宋_GB2312"/>
          <w:b/>
          <w:kern w:val="2"/>
          <w:sz w:val="30"/>
        </w:rPr>
        <w:t xml:space="preserve">  2025</w:t>
      </w:r>
      <w:r>
        <w:rPr>
          <w:rFonts w:hint="eastAsia" w:ascii="Times New Roman" w:hAnsi="Times New Roman" w:eastAsia="仿宋_GB2312"/>
          <w:b/>
          <w:kern w:val="2"/>
          <w:sz w:val="30"/>
        </w:rPr>
        <w:t>年单位预算表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一、收支总体情况表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二、收入总体情况表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三、支出总体情况表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四、财政拨款收支总体情况表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五、一般公共预算支出情况表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六、一般公共预算基本支出情况表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七、一般公共预算“三公”经费支出情况表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八、政府性基金预算支出情况表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九、国有资本经营预算支出情况表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十、项目支出表</w:t>
      </w:r>
    </w:p>
    <w:p>
      <w:pPr>
        <w:spacing w:line="600" w:lineRule="exact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十一、关于空表的说明</w:t>
      </w:r>
      <w:r>
        <w:rPr>
          <w:rFonts w:ascii="Times New Roman" w:hAnsi="Times New Roman" w:eastAsia="仿宋_GB2312"/>
          <w:kern w:val="2"/>
          <w:sz w:val="30"/>
        </w:rPr>
        <w:tab/>
      </w: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Times New Roman"/>
          <w:kern w:val="2"/>
          <w:sz w:val="44"/>
          <w:highlight w:val="white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Times New Roman"/>
          <w:kern w:val="2"/>
          <w:sz w:val="44"/>
          <w:highlight w:val="white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Times New Roman"/>
          <w:kern w:val="2"/>
          <w:sz w:val="44"/>
          <w:highlight w:val="white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kern w:val="2"/>
          <w:sz w:val="44"/>
          <w:lang w:val="zh-CN"/>
        </w:rPr>
      </w:pPr>
      <w:r>
        <w:rPr>
          <w:rFonts w:hint="eastAsia" w:ascii="Times New Roman" w:hAnsi="Times New Roman" w:eastAsia="方正小标宋简体"/>
          <w:b/>
          <w:kern w:val="44"/>
          <w:sz w:val="44"/>
        </w:rPr>
        <w:t>第一部分</w:t>
      </w:r>
      <w:r>
        <w:rPr>
          <w:rFonts w:ascii="Times New Roman" w:hAnsi="Times New Roman" w:eastAsia="方正小标宋简体"/>
          <w:b/>
          <w:kern w:val="44"/>
          <w:sz w:val="44"/>
        </w:rPr>
        <w:t xml:space="preserve">  </w:t>
      </w:r>
      <w:r>
        <w:rPr>
          <w:rFonts w:hint="eastAsia" w:ascii="Times New Roman" w:hAnsi="Times New Roman" w:eastAsia="方正小标宋简体"/>
          <w:b/>
          <w:kern w:val="44"/>
          <w:sz w:val="44"/>
        </w:rPr>
        <w:t>概</w:t>
      </w:r>
      <w:r>
        <w:rPr>
          <w:rFonts w:ascii="Times New Roman" w:hAnsi="Times New Roman" w:eastAsia="方正小标宋简体"/>
          <w:b/>
          <w:kern w:val="44"/>
          <w:sz w:val="44"/>
        </w:rPr>
        <w:t xml:space="preserve"> </w:t>
      </w:r>
      <w:r>
        <w:rPr>
          <w:rFonts w:hint="eastAsia" w:ascii="Times New Roman" w:hAnsi="Times New Roman" w:eastAsia="方正小标宋简体"/>
          <w:b/>
          <w:kern w:val="44"/>
          <w:sz w:val="44"/>
        </w:rPr>
        <w:t>况</w:t>
      </w:r>
    </w:p>
    <w:p>
      <w:pPr>
        <w:spacing w:line="580" w:lineRule="exact"/>
        <w:ind w:firstLine="480"/>
        <w:jc w:val="both"/>
        <w:rPr>
          <w:rFonts w:ascii="Times New Roman" w:hAnsi="Times New Roman" w:eastAsia="Times New Roman"/>
          <w:kern w:val="2"/>
          <w:lang w:val="zh-CN"/>
        </w:rPr>
      </w:pPr>
    </w:p>
    <w:p>
      <w:pPr>
        <w:pStyle w:val="4"/>
        <w:keepNext/>
        <w:keepLines/>
        <w:spacing w:before="260" w:after="260" w:line="600" w:lineRule="exact"/>
        <w:ind w:firstLine="602"/>
        <w:rPr>
          <w:rFonts w:ascii="Times New Roman" w:hAnsi="Times New Roman" w:eastAsia="黑体"/>
          <w:b/>
          <w:sz w:val="30"/>
        </w:rPr>
      </w:pPr>
      <w:r>
        <w:rPr>
          <w:rFonts w:hint="eastAsia" w:ascii="Times New Roman" w:hAnsi="Times New Roman" w:eastAsia="黑体"/>
          <w:b/>
          <w:sz w:val="30"/>
        </w:rPr>
        <w:t>一、主要职责</w:t>
      </w:r>
    </w:p>
    <w:p>
      <w:pPr>
        <w:pStyle w:val="4"/>
        <w:spacing w:line="600" w:lineRule="exact"/>
        <w:ind w:firstLine="600" w:firstLineChars="200"/>
        <w:rPr>
          <w:rFonts w:ascii="Times New Roman" w:hAnsi="Times New Roman" w:eastAsia="Times New Roman"/>
          <w:kern w:val="2"/>
          <w:sz w:val="30"/>
        </w:rPr>
      </w:pPr>
      <w:r>
        <w:rPr>
          <w:rFonts w:hint="eastAsia" w:ascii="Times New Roman" w:hAnsi="Times New Roman" w:eastAsia="仿宋_GB2312"/>
          <w:sz w:val="30"/>
        </w:rPr>
        <w:t>天津博物馆主要职责是：征集、收藏、保护、研究和有效利用历史文物、文献、艺术品等人类物质文化遗产；开展文物展示和宣传教育活动，提高城市文化品味；负责文物鉴定等相关知识的培训工作。</w:t>
      </w:r>
    </w:p>
    <w:p>
      <w:pPr>
        <w:pStyle w:val="4"/>
        <w:keepNext/>
        <w:keepLines/>
        <w:spacing w:before="260" w:after="260" w:line="600" w:lineRule="exact"/>
        <w:ind w:firstLine="602"/>
        <w:rPr>
          <w:rFonts w:ascii="Times New Roman" w:hAnsi="Times New Roman" w:eastAsia="黑体"/>
          <w:b/>
          <w:sz w:val="30"/>
        </w:rPr>
      </w:pPr>
      <w:r>
        <w:rPr>
          <w:rFonts w:hint="eastAsia" w:ascii="Times New Roman" w:hAnsi="Times New Roman" w:eastAsia="黑体"/>
          <w:b/>
          <w:sz w:val="30"/>
        </w:rPr>
        <w:t>二、机构设置情况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  <w:highlight w:val="yellow"/>
        </w:rPr>
      </w:pPr>
      <w:r>
        <w:rPr>
          <w:rFonts w:hint="eastAsia" w:ascii="Times New Roman" w:hAnsi="Times New Roman" w:eastAsia="仿宋_GB2312"/>
          <w:kern w:val="2"/>
          <w:sz w:val="30"/>
        </w:rPr>
        <w:t>天津博物馆与天津文博院合署办公。天津博物馆内设</w:t>
      </w:r>
      <w:r>
        <w:rPr>
          <w:rFonts w:ascii="Times New Roman" w:hAnsi="Times New Roman" w:eastAsia="仿宋_GB2312"/>
          <w:kern w:val="2"/>
          <w:sz w:val="30"/>
        </w:rPr>
        <w:t>14</w:t>
      </w:r>
      <w:r>
        <w:rPr>
          <w:rFonts w:hint="eastAsia" w:ascii="Times New Roman" w:hAnsi="Times New Roman" w:eastAsia="仿宋_GB2312"/>
          <w:kern w:val="2"/>
          <w:sz w:val="30"/>
        </w:rPr>
        <w:t>个职能部室，分别为：党委办公室（人事部）、办公室、保卫部、财务部、行政管理部、历史研究部、器物研究部、书画研究部、宣传教育部、文物保护技术部、图书资料部、图像信息部、展览设计部、经营部。天津文博院内设</w:t>
      </w:r>
      <w:r>
        <w:rPr>
          <w:rFonts w:ascii="Times New Roman" w:hAnsi="Times New Roman" w:eastAsia="仿宋_GB2312"/>
          <w:kern w:val="2"/>
          <w:sz w:val="30"/>
        </w:rPr>
        <w:t xml:space="preserve"> 2 </w:t>
      </w:r>
      <w:r>
        <w:rPr>
          <w:rFonts w:hint="eastAsia" w:ascii="Times New Roman" w:hAnsi="Times New Roman" w:eastAsia="仿宋_GB2312"/>
          <w:kern w:val="2"/>
          <w:sz w:val="30"/>
        </w:rPr>
        <w:t>个职能部室，分别为：办公室、研究部。天津博物馆加挂天津美术馆、李叔同（故居）纪念馆牌子。</w:t>
      </w:r>
    </w:p>
    <w:p>
      <w:pPr>
        <w:pStyle w:val="2"/>
        <w:ind w:firstLine="600"/>
        <w:rPr>
          <w:rFonts w:ascii="Times New Roman" w:hAnsi="Times New Roman" w:eastAsia="仿宋_GB2312"/>
          <w:kern w:val="2"/>
          <w:sz w:val="30"/>
          <w:highlight w:val="yellow"/>
        </w:rPr>
      </w:pPr>
    </w:p>
    <w:p>
      <w:pPr>
        <w:pStyle w:val="2"/>
        <w:ind w:firstLine="600"/>
        <w:rPr>
          <w:rFonts w:ascii="Times New Roman" w:hAnsi="Times New Roman" w:eastAsia="仿宋_GB2312"/>
          <w:kern w:val="2"/>
          <w:sz w:val="30"/>
          <w:highlight w:val="yellow"/>
        </w:rPr>
      </w:pPr>
    </w:p>
    <w:p>
      <w:pPr>
        <w:pStyle w:val="2"/>
        <w:ind w:firstLine="600"/>
        <w:rPr>
          <w:rFonts w:ascii="Times New Roman" w:hAnsi="Times New Roman" w:eastAsia="仿宋_GB2312"/>
          <w:kern w:val="2"/>
          <w:sz w:val="30"/>
          <w:highlight w:val="yellow"/>
        </w:rPr>
      </w:pPr>
    </w:p>
    <w:p>
      <w:pPr>
        <w:spacing w:line="600" w:lineRule="exact"/>
        <w:jc w:val="both"/>
        <w:rPr>
          <w:rFonts w:ascii="Times New Roman" w:hAnsi="Times New Roman" w:eastAsia="黑体"/>
          <w:kern w:val="2"/>
          <w:sz w:val="44"/>
        </w:rPr>
      </w:pPr>
    </w:p>
    <w:p>
      <w:pPr>
        <w:spacing w:line="600" w:lineRule="exact"/>
        <w:jc w:val="both"/>
        <w:rPr>
          <w:rFonts w:ascii="Times New Roman" w:hAnsi="Times New Roman" w:eastAsia="黑体"/>
          <w:kern w:val="2"/>
          <w:sz w:val="44"/>
        </w:rPr>
      </w:pPr>
    </w:p>
    <w:p>
      <w:pPr>
        <w:spacing w:line="360" w:lineRule="atLeast"/>
        <w:jc w:val="both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360" w:lineRule="atLeast"/>
        <w:jc w:val="center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b/>
          <w:kern w:val="2"/>
          <w:sz w:val="44"/>
        </w:rPr>
      </w:pPr>
      <w:r>
        <w:rPr>
          <w:rFonts w:hint="eastAsia" w:ascii="Times New Roman" w:hAnsi="Times New Roman" w:eastAsia="方正小标宋简体"/>
          <w:b/>
          <w:kern w:val="44"/>
          <w:sz w:val="44"/>
          <w:lang w:val="zh-CN"/>
        </w:rPr>
        <w:br w:type="page"/>
      </w:r>
      <w:r>
        <w:rPr>
          <w:rFonts w:hint="eastAsia" w:ascii="Times New Roman" w:hAnsi="Times New Roman" w:eastAsia="方正小标宋简体"/>
          <w:b/>
          <w:kern w:val="44"/>
          <w:sz w:val="44"/>
          <w:lang w:val="zh-CN"/>
        </w:rPr>
        <w:t>第二部分</w:t>
      </w:r>
      <w:r>
        <w:rPr>
          <w:rFonts w:ascii="Times New Roman" w:hAnsi="Times New Roman" w:eastAsia="方正小标宋简体"/>
          <w:b/>
          <w:kern w:val="44"/>
          <w:sz w:val="44"/>
          <w:lang w:val="zh-CN"/>
        </w:rPr>
        <w:t xml:space="preserve"> </w:t>
      </w:r>
      <w:r>
        <w:rPr>
          <w:rFonts w:ascii="Times New Roman" w:hAnsi="Times New Roman" w:eastAsia="方正小标宋简体"/>
          <w:b/>
          <w:kern w:val="44"/>
          <w:sz w:val="44"/>
        </w:rPr>
        <w:t xml:space="preserve"> 2025</w:t>
      </w:r>
      <w:r>
        <w:rPr>
          <w:rFonts w:hint="eastAsia" w:ascii="Times New Roman" w:hAnsi="Times New Roman" w:eastAsia="方正小标宋简体"/>
          <w:b/>
          <w:kern w:val="44"/>
          <w:sz w:val="44"/>
        </w:rPr>
        <w:t>年单位预算情况说明</w:t>
      </w:r>
    </w:p>
    <w:p>
      <w:pPr>
        <w:spacing w:line="580" w:lineRule="exact"/>
        <w:ind w:firstLine="600"/>
        <w:jc w:val="center"/>
        <w:rPr>
          <w:rFonts w:ascii="Times New Roman" w:hAnsi="Times New Roman" w:eastAsia="黑体"/>
          <w:kern w:val="2"/>
          <w:sz w:val="30"/>
        </w:rPr>
      </w:pP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一、关于收支总体情况表的说明</w:t>
      </w:r>
    </w:p>
    <w:p>
      <w:pPr>
        <w:spacing w:line="580" w:lineRule="exact"/>
        <w:ind w:firstLine="600"/>
        <w:jc w:val="both"/>
        <w:rPr>
          <w:rFonts w:ascii="Times New Roman" w:hAnsi="Times New Roman" w:eastAsia="仿宋"/>
          <w:kern w:val="2"/>
          <w:sz w:val="30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按照综合预算的原则，天津博物馆</w:t>
      </w:r>
      <w:r>
        <w:rPr>
          <w:rFonts w:hint="eastAsia" w:ascii="Times New Roman" w:hAnsi="Times New Roman" w:eastAsia="仿宋_GB2312"/>
          <w:kern w:val="2"/>
          <w:sz w:val="30"/>
        </w:rPr>
        <w:t>所有收入和支出均纳入单位预算管理。收入包括：一般公共预算拨款收入</w:t>
      </w:r>
      <w:r>
        <w:rPr>
          <w:rFonts w:ascii="Times New Roman" w:hAnsi="Times New Roman" w:eastAsia="仿宋_GB2312"/>
          <w:kern w:val="2"/>
          <w:sz w:val="30"/>
          <w:lang w:val="zh-CN"/>
        </w:rPr>
        <w:t>10,124.3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、政府性基金预算拨款收入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、国有资本经营预算拨款收入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、财政专户管理资金收入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、事业收入</w:t>
      </w:r>
      <w:r>
        <w:rPr>
          <w:rFonts w:ascii="Times New Roman" w:hAnsi="Times New Roman" w:eastAsia="仿宋_GB2312"/>
          <w:kern w:val="2"/>
          <w:sz w:val="30"/>
          <w:lang w:val="zh-CN"/>
        </w:rPr>
        <w:t>1,390.0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、事业单位经营收入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、上级补助收入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、附属单位上缴收入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、其他收入</w:t>
      </w:r>
      <w:r>
        <w:rPr>
          <w:rFonts w:ascii="Times New Roman" w:hAnsi="Times New Roman" w:eastAsia="仿宋_GB2312"/>
          <w:kern w:val="2"/>
          <w:sz w:val="30"/>
          <w:lang w:val="zh-CN"/>
        </w:rPr>
        <w:t>221.0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、上年结转结余</w:t>
      </w:r>
      <w:r>
        <w:rPr>
          <w:rFonts w:ascii="Times New Roman" w:hAnsi="Times New Roman" w:eastAsia="仿宋_GB2312"/>
          <w:kern w:val="2"/>
          <w:sz w:val="30"/>
          <w:lang w:val="zh-CN"/>
        </w:rPr>
        <w:t>837.2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；支出包括：教育支出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、文化旅游体育与传媒支出</w:t>
      </w:r>
      <w:r>
        <w:rPr>
          <w:rFonts w:ascii="Times New Roman" w:hAnsi="Times New Roman" w:eastAsia="仿宋_GB2312"/>
          <w:kern w:val="2"/>
          <w:sz w:val="30"/>
          <w:lang w:val="zh-CN"/>
        </w:rPr>
        <w:t>11,637.6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、社会保障和就业支出</w:t>
      </w:r>
      <w:r>
        <w:rPr>
          <w:rFonts w:ascii="Times New Roman" w:hAnsi="Times New Roman" w:eastAsia="仿宋_GB2312"/>
          <w:kern w:val="2"/>
          <w:sz w:val="30"/>
          <w:lang w:val="zh-CN"/>
        </w:rPr>
        <w:t>408.6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、卫生健康支出</w:t>
      </w:r>
      <w:r>
        <w:rPr>
          <w:rFonts w:ascii="Times New Roman" w:hAnsi="Times New Roman" w:eastAsia="仿宋_GB2312"/>
          <w:kern w:val="2"/>
          <w:sz w:val="30"/>
          <w:lang w:val="zh-CN"/>
        </w:rPr>
        <w:t>252.1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、债务付息支出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，年终结转结余</w:t>
      </w:r>
      <w:r>
        <w:rPr>
          <w:rFonts w:ascii="Times New Roman" w:hAnsi="Times New Roman" w:eastAsia="仿宋_GB2312"/>
          <w:kern w:val="2"/>
          <w:sz w:val="30"/>
        </w:rPr>
        <w:t>274.2</w:t>
      </w:r>
      <w:r>
        <w:rPr>
          <w:rFonts w:hint="eastAsia" w:ascii="Times New Roman" w:hAnsi="Times New Roman" w:eastAsia="仿宋_GB2312"/>
          <w:kern w:val="2"/>
          <w:sz w:val="30"/>
        </w:rPr>
        <w:t>万元。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年收支总预算</w:t>
      </w:r>
      <w:r>
        <w:rPr>
          <w:rFonts w:ascii="Times New Roman" w:hAnsi="Times New Roman" w:eastAsia="仿宋_GB2312"/>
          <w:kern w:val="2"/>
          <w:sz w:val="30"/>
          <w:lang w:val="zh-CN"/>
        </w:rPr>
        <w:t>12,572.5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二、关于收入总体情况表的说明</w:t>
      </w:r>
    </w:p>
    <w:p>
      <w:pPr>
        <w:spacing w:line="60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年单位预算收入</w:t>
      </w:r>
      <w:r>
        <w:rPr>
          <w:rFonts w:ascii="Times New Roman" w:hAnsi="Times New Roman" w:eastAsia="仿宋"/>
          <w:kern w:val="2"/>
          <w:sz w:val="30"/>
          <w:lang w:val="zh-CN"/>
        </w:rPr>
        <w:t>12,572.5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，与</w:t>
      </w:r>
      <w:r>
        <w:rPr>
          <w:rFonts w:ascii="Times New Roman" w:hAnsi="Times New Roman" w:eastAsia="仿宋_GB2312"/>
          <w:kern w:val="2"/>
          <w:sz w:val="30"/>
        </w:rPr>
        <w:t>2024</w:t>
      </w:r>
      <w:r>
        <w:rPr>
          <w:rFonts w:hint="eastAsia" w:ascii="Times New Roman" w:hAnsi="Times New Roman" w:eastAsia="仿宋_GB2312"/>
          <w:kern w:val="2"/>
          <w:sz w:val="30"/>
        </w:rPr>
        <w:t>年</w:t>
      </w:r>
      <w:r>
        <w:rPr>
          <w:rFonts w:hint="eastAsia" w:ascii="Times New Roman" w:hAnsi="Times New Roman" w:eastAsia="仿宋_GB2312"/>
          <w:sz w:val="30"/>
        </w:rPr>
        <w:t>预算相比</w:t>
      </w:r>
      <w:r>
        <w:rPr>
          <w:rFonts w:hint="eastAsia" w:ascii="Times New Roman" w:hAnsi="Times New Roman" w:eastAsia="仿宋"/>
          <w:kern w:val="2"/>
          <w:sz w:val="30"/>
        </w:rPr>
        <w:t>增加</w:t>
      </w:r>
      <w:r>
        <w:rPr>
          <w:rFonts w:ascii="Times New Roman" w:hAnsi="Times New Roman" w:eastAsia="仿宋"/>
          <w:kern w:val="2"/>
          <w:sz w:val="30"/>
        </w:rPr>
        <w:t>153.3</w:t>
      </w:r>
      <w:r>
        <w:rPr>
          <w:rFonts w:hint="eastAsia" w:ascii="Times New Roman" w:hAnsi="Times New Roman" w:eastAsia="仿宋"/>
          <w:kern w:val="2"/>
          <w:sz w:val="30"/>
        </w:rPr>
        <w:t>万</w:t>
      </w:r>
      <w:r>
        <w:rPr>
          <w:rFonts w:hint="eastAsia" w:ascii="Times New Roman" w:hAnsi="Times New Roman" w:eastAsia="仿宋_GB2312"/>
          <w:sz w:val="30"/>
        </w:rPr>
        <w:t>元，主要原因是事业收入、其他收入和上年结转结余增加。其中：上年结转结余</w:t>
      </w:r>
      <w:r>
        <w:rPr>
          <w:rFonts w:ascii="Times New Roman" w:hAnsi="Times New Roman" w:eastAsia="仿宋"/>
          <w:kern w:val="2"/>
          <w:sz w:val="30"/>
          <w:lang w:val="zh-CN"/>
        </w:rPr>
        <w:t>837.2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6.6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_GB2312"/>
          <w:sz w:val="30"/>
        </w:rPr>
        <w:t>；一般公共预算</w:t>
      </w:r>
      <w:r>
        <w:rPr>
          <w:rFonts w:ascii="Times New Roman" w:hAnsi="Times New Roman" w:eastAsia="仿宋"/>
          <w:kern w:val="2"/>
          <w:sz w:val="30"/>
          <w:lang w:val="zh-CN"/>
        </w:rPr>
        <w:t>10,124.3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"/>
          <w:kern w:val="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80.5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政府性基金预算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国有资本经营预算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财政专户管理资金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事业收入</w:t>
      </w:r>
      <w:r>
        <w:rPr>
          <w:rFonts w:ascii="Times New Roman" w:hAnsi="Times New Roman" w:eastAsia="仿宋"/>
          <w:kern w:val="2"/>
          <w:sz w:val="30"/>
          <w:lang w:val="zh-CN"/>
        </w:rPr>
        <w:t>1,390.0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11.1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事业单位经营收入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上级补助收入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附属单位上缴收入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；</w:t>
      </w:r>
      <w:r>
        <w:rPr>
          <w:rFonts w:hint="eastAsia" w:ascii="Times New Roman" w:hAnsi="Times New Roman" w:eastAsia="仿宋_GB2312"/>
          <w:sz w:val="30"/>
        </w:rPr>
        <w:t>其他收入</w:t>
      </w:r>
      <w:r>
        <w:rPr>
          <w:rFonts w:ascii="Times New Roman" w:hAnsi="Times New Roman" w:eastAsia="仿宋"/>
          <w:kern w:val="2"/>
          <w:sz w:val="30"/>
          <w:lang w:val="zh-CN"/>
        </w:rPr>
        <w:t>221.0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1.8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"/>
          <w:kern w:val="2"/>
          <w:sz w:val="30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三、关于支出总体情况表的说明</w:t>
      </w:r>
    </w:p>
    <w:p>
      <w:pPr>
        <w:spacing w:line="60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年支出预算</w:t>
      </w:r>
      <w:r>
        <w:rPr>
          <w:rFonts w:ascii="Times New Roman" w:hAnsi="Times New Roman" w:eastAsia="仿宋"/>
          <w:kern w:val="2"/>
          <w:sz w:val="30"/>
          <w:lang w:val="zh-CN"/>
        </w:rPr>
        <w:t>12,298.3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，与</w:t>
      </w:r>
      <w:r>
        <w:rPr>
          <w:rFonts w:ascii="Times New Roman" w:hAnsi="Times New Roman" w:eastAsia="仿宋_GB2312"/>
          <w:kern w:val="2"/>
          <w:sz w:val="30"/>
        </w:rPr>
        <w:t>2024</w:t>
      </w:r>
      <w:r>
        <w:rPr>
          <w:rFonts w:hint="eastAsia" w:ascii="Times New Roman" w:hAnsi="Times New Roman" w:eastAsia="仿宋_GB2312"/>
          <w:kern w:val="2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减少</w:t>
      </w:r>
      <w:r>
        <w:rPr>
          <w:rFonts w:ascii="Times New Roman" w:hAnsi="Times New Roman" w:eastAsia="仿宋"/>
          <w:kern w:val="2"/>
          <w:sz w:val="30"/>
        </w:rPr>
        <w:t>120.9</w:t>
      </w:r>
      <w:r>
        <w:rPr>
          <w:rFonts w:hint="eastAsia" w:ascii="Times New Roman" w:hAnsi="Times New Roman" w:eastAsia="仿宋"/>
          <w:kern w:val="2"/>
          <w:sz w:val="30"/>
        </w:rPr>
        <w:t>万</w:t>
      </w:r>
      <w:r>
        <w:rPr>
          <w:rFonts w:hint="eastAsia" w:ascii="Times New Roman" w:hAnsi="Times New Roman" w:eastAsia="仿宋_GB2312"/>
          <w:kern w:val="2"/>
          <w:sz w:val="30"/>
        </w:rPr>
        <w:t>元，主要原因一般公共预算财政拨款收入减少，支出相应减少。其中：基本支出</w:t>
      </w:r>
      <w:r>
        <w:rPr>
          <w:rFonts w:ascii="Times New Roman" w:hAnsi="Times New Roman" w:eastAsia="仿宋"/>
          <w:kern w:val="2"/>
          <w:sz w:val="30"/>
        </w:rPr>
        <w:t>6,173.0</w:t>
      </w:r>
      <w:r>
        <w:rPr>
          <w:rFonts w:hint="eastAsia" w:ascii="Times New Roman" w:hAnsi="Times New Roman" w:eastAsia="仿宋"/>
          <w:kern w:val="2"/>
          <w:sz w:val="30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50.2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</w:rPr>
        <w:t>；项目支出</w:t>
      </w:r>
      <w:r>
        <w:rPr>
          <w:rFonts w:ascii="Times New Roman" w:hAnsi="Times New Roman" w:eastAsia="仿宋"/>
          <w:kern w:val="2"/>
          <w:sz w:val="30"/>
        </w:rPr>
        <w:t>6,125.3</w:t>
      </w:r>
      <w:r>
        <w:rPr>
          <w:rFonts w:hint="eastAsia" w:ascii="Times New Roman" w:hAnsi="Times New Roman" w:eastAsia="仿宋"/>
          <w:kern w:val="2"/>
          <w:sz w:val="30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49.8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</w:rPr>
        <w:t>；事业单位经营支出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hint="eastAsia" w:ascii="Times New Roman" w:hAnsi="Times New Roman" w:eastAsia="仿宋"/>
          <w:kern w:val="2"/>
          <w:sz w:val="30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</w:rPr>
        <w:t>；上缴上级支出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hint="eastAsia" w:ascii="Times New Roman" w:hAnsi="Times New Roman" w:eastAsia="仿宋"/>
          <w:kern w:val="2"/>
          <w:sz w:val="30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</w:rPr>
        <w:t>；对附属单位补助支出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hint="eastAsia" w:ascii="Times New Roman" w:hAnsi="Times New Roman" w:eastAsia="仿宋"/>
          <w:kern w:val="2"/>
          <w:sz w:val="30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，占</w:t>
      </w:r>
      <w:r>
        <w:rPr>
          <w:rFonts w:ascii="Times New Roman" w:hAnsi="Times New Roman" w:eastAsia="仿宋"/>
          <w:kern w:val="2"/>
          <w:sz w:val="30"/>
        </w:rPr>
        <w:t>0.0</w:t>
      </w:r>
      <w:r>
        <w:rPr>
          <w:rFonts w:ascii="Times New Roman" w:hAnsi="Times New Roman" w:eastAsia="Times New Roman"/>
          <w:sz w:val="30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四、关于财政拨款收支总体情况表的说明</w:t>
      </w: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kern w:val="2"/>
          <w:sz w:val="4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年财政拨款收入预算</w:t>
      </w:r>
      <w:r>
        <w:rPr>
          <w:rFonts w:ascii="Times New Roman" w:hAnsi="Times New Roman" w:eastAsia="仿宋_GB2312"/>
          <w:kern w:val="2"/>
          <w:sz w:val="30"/>
          <w:lang w:val="zh-CN"/>
        </w:rPr>
        <w:t>10,507.0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与</w:t>
      </w:r>
      <w:r>
        <w:rPr>
          <w:rFonts w:ascii="Times New Roman" w:hAnsi="Times New Roman" w:eastAsia="仿宋_GB2312"/>
          <w:kern w:val="2"/>
          <w:sz w:val="30"/>
          <w:highlight w:val="white"/>
        </w:rPr>
        <w:t>2024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年预算相比</w:t>
      </w:r>
      <w:r>
        <w:rPr>
          <w:rFonts w:hint="eastAsia" w:ascii="Times New Roman" w:hAnsi="Times New Roman" w:eastAsia="仿宋"/>
          <w:kern w:val="2"/>
          <w:sz w:val="30"/>
          <w:highlight w:val="white"/>
        </w:rPr>
        <w:t>减少</w:t>
      </w:r>
      <w:r>
        <w:rPr>
          <w:rFonts w:ascii="Times New Roman" w:hAnsi="Times New Roman" w:eastAsia="仿宋"/>
          <w:kern w:val="2"/>
          <w:sz w:val="30"/>
          <w:highlight w:val="white"/>
        </w:rPr>
        <w:t>488.9</w:t>
      </w:r>
      <w:r>
        <w:rPr>
          <w:rFonts w:hint="eastAsia" w:ascii="Times New Roman" w:hAnsi="Times New Roman" w:eastAsia="仿宋"/>
          <w:kern w:val="2"/>
          <w:sz w:val="30"/>
          <w:highlight w:val="white"/>
        </w:rPr>
        <w:t>万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元</w:t>
      </w:r>
      <w:r>
        <w:rPr>
          <w:rFonts w:hint="eastAsia" w:ascii="Times New Roman" w:hAnsi="Times New Roman" w:eastAsia="仿宋_GB2312"/>
          <w:kern w:val="2"/>
          <w:sz w:val="30"/>
        </w:rPr>
        <w:t>，主要原因是一般公共预算财政拨款减少。收入包括：一般公共预算拨款收入</w:t>
      </w:r>
      <w:r>
        <w:rPr>
          <w:rFonts w:ascii="Times New Roman" w:hAnsi="Times New Roman" w:eastAsia="仿宋_GB2312"/>
          <w:kern w:val="2"/>
          <w:sz w:val="30"/>
          <w:lang w:val="zh-CN"/>
        </w:rPr>
        <w:t>10,124.3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、政府性基金预算拨款收入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、国有资本经营预算拨款收入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、上年财政结转结余</w:t>
      </w:r>
      <w:r>
        <w:rPr>
          <w:rFonts w:ascii="Times New Roman" w:hAnsi="Times New Roman" w:eastAsia="仿宋_GB2312"/>
          <w:kern w:val="2"/>
          <w:sz w:val="30"/>
          <w:lang w:val="zh-CN"/>
        </w:rPr>
        <w:t>382.7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。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年财政拨款支出预算</w:t>
      </w:r>
      <w:r>
        <w:rPr>
          <w:rFonts w:ascii="Times New Roman" w:hAnsi="Times New Roman" w:eastAsia="仿宋_GB2312"/>
          <w:kern w:val="2"/>
          <w:sz w:val="30"/>
          <w:lang w:val="zh-CN"/>
        </w:rPr>
        <w:t>10,507.0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与</w:t>
      </w:r>
      <w:r>
        <w:rPr>
          <w:rFonts w:ascii="Times New Roman" w:hAnsi="Times New Roman" w:eastAsia="仿宋_GB2312"/>
          <w:kern w:val="2"/>
          <w:sz w:val="30"/>
          <w:highlight w:val="white"/>
        </w:rPr>
        <w:t>2024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年预算相比</w:t>
      </w:r>
      <w:r>
        <w:rPr>
          <w:rFonts w:hint="eastAsia" w:ascii="Times New Roman" w:hAnsi="Times New Roman" w:eastAsia="仿宋"/>
          <w:kern w:val="2"/>
          <w:sz w:val="30"/>
          <w:highlight w:val="white"/>
        </w:rPr>
        <w:t>减少</w:t>
      </w:r>
      <w:r>
        <w:rPr>
          <w:rFonts w:ascii="Times New Roman" w:hAnsi="Times New Roman" w:eastAsia="仿宋"/>
          <w:kern w:val="2"/>
          <w:sz w:val="30"/>
          <w:highlight w:val="white"/>
        </w:rPr>
        <w:t>488.9</w:t>
      </w:r>
      <w:r>
        <w:rPr>
          <w:rFonts w:hint="eastAsia" w:ascii="Times New Roman" w:hAnsi="Times New Roman" w:eastAsia="仿宋"/>
          <w:kern w:val="2"/>
          <w:sz w:val="30"/>
          <w:highlight w:val="white"/>
        </w:rPr>
        <w:t>万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元</w:t>
      </w:r>
      <w:r>
        <w:rPr>
          <w:rFonts w:hint="eastAsia" w:ascii="Times New Roman" w:hAnsi="Times New Roman" w:eastAsia="仿宋_GB2312"/>
          <w:kern w:val="2"/>
          <w:sz w:val="30"/>
        </w:rPr>
        <w:t>，主要原因是一般公共预算财政拨款收入减少，支出相应减少。支出包括：教育支出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、文化旅游体育与传媒支出</w:t>
      </w:r>
      <w:r>
        <w:rPr>
          <w:rFonts w:ascii="Times New Roman" w:hAnsi="Times New Roman" w:eastAsia="仿宋_GB2312"/>
          <w:kern w:val="2"/>
          <w:sz w:val="30"/>
          <w:lang w:val="zh-CN"/>
        </w:rPr>
        <w:t>9,846.3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、社会保障和就业支出</w:t>
      </w:r>
      <w:r>
        <w:rPr>
          <w:rFonts w:ascii="Times New Roman" w:hAnsi="Times New Roman" w:eastAsia="仿宋_GB2312"/>
          <w:kern w:val="2"/>
          <w:sz w:val="30"/>
          <w:lang w:val="zh-CN"/>
        </w:rPr>
        <w:t>408.6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、卫生健康支出</w:t>
      </w:r>
      <w:r>
        <w:rPr>
          <w:rFonts w:ascii="Times New Roman" w:hAnsi="Times New Roman" w:eastAsia="仿宋_GB2312"/>
          <w:kern w:val="2"/>
          <w:sz w:val="30"/>
          <w:lang w:val="zh-CN"/>
        </w:rPr>
        <w:t>252.1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、债务付息支出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五、关于一般公共预算支出情况表的说明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楷体"/>
          <w:b/>
          <w:kern w:val="2"/>
          <w:sz w:val="30"/>
        </w:rPr>
      </w:pPr>
      <w:r>
        <w:rPr>
          <w:rFonts w:hint="eastAsia" w:ascii="Times New Roman" w:hAnsi="Times New Roman" w:eastAsia="楷体"/>
          <w:b/>
          <w:kern w:val="2"/>
          <w:sz w:val="30"/>
        </w:rPr>
        <w:t>（一）总体情况。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年一般公共预算支出</w:t>
      </w:r>
      <w:r>
        <w:rPr>
          <w:rFonts w:ascii="Times New Roman" w:hAnsi="Times New Roman" w:eastAsia="仿宋"/>
          <w:kern w:val="2"/>
          <w:sz w:val="30"/>
          <w:lang w:val="zh-CN"/>
        </w:rPr>
        <w:t>10,507.0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与</w:t>
      </w:r>
      <w:r>
        <w:rPr>
          <w:rFonts w:ascii="Times New Roman" w:hAnsi="Times New Roman" w:eastAsia="仿宋_GB2312"/>
          <w:kern w:val="2"/>
          <w:sz w:val="30"/>
          <w:highlight w:val="white"/>
        </w:rPr>
        <w:t>2024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年预算相比</w:t>
      </w:r>
      <w:r>
        <w:rPr>
          <w:rFonts w:hint="eastAsia" w:ascii="Times New Roman" w:hAnsi="Times New Roman" w:eastAsia="仿宋"/>
          <w:kern w:val="2"/>
          <w:sz w:val="30"/>
          <w:highlight w:val="white"/>
        </w:rPr>
        <w:t>减少</w:t>
      </w:r>
      <w:r>
        <w:rPr>
          <w:rFonts w:ascii="Times New Roman" w:hAnsi="Times New Roman" w:eastAsia="仿宋"/>
          <w:kern w:val="2"/>
          <w:sz w:val="30"/>
          <w:highlight w:val="white"/>
        </w:rPr>
        <w:t>488.9</w:t>
      </w:r>
      <w:r>
        <w:rPr>
          <w:rFonts w:hint="eastAsia" w:ascii="Times New Roman" w:hAnsi="Times New Roman" w:eastAsia="仿宋"/>
          <w:kern w:val="2"/>
          <w:sz w:val="30"/>
          <w:highlight w:val="white"/>
        </w:rPr>
        <w:t>万</w:t>
      </w:r>
      <w:r>
        <w:rPr>
          <w:rFonts w:hint="eastAsia" w:ascii="Times New Roman" w:hAnsi="Times New Roman" w:eastAsia="仿宋_GB2312"/>
          <w:kern w:val="2"/>
          <w:sz w:val="30"/>
        </w:rPr>
        <w:t>元，主要原因是一般公共预算财政拨款收入减少，支出相应减少。</w:t>
      </w:r>
    </w:p>
    <w:p>
      <w:pPr>
        <w:spacing w:line="600" w:lineRule="exact"/>
        <w:ind w:firstLine="600"/>
        <w:jc w:val="both"/>
        <w:rPr>
          <w:rFonts w:ascii="Times New Roman" w:hAnsi="Times New Roman" w:eastAsia="楷体"/>
          <w:b/>
          <w:kern w:val="2"/>
          <w:sz w:val="30"/>
        </w:rPr>
      </w:pPr>
      <w:r>
        <w:rPr>
          <w:rFonts w:hint="eastAsia" w:ascii="Times New Roman" w:hAnsi="Times New Roman" w:eastAsia="楷体"/>
          <w:b/>
          <w:kern w:val="2"/>
          <w:sz w:val="30"/>
        </w:rPr>
        <w:t>（二）具体情况。</w:t>
      </w:r>
    </w:p>
    <w:p>
      <w:pPr>
        <w:spacing w:line="580" w:lineRule="exact"/>
        <w:ind w:firstLine="600"/>
        <w:rPr>
          <w:rFonts w:ascii="Times New Roman" w:hAnsi="Times New Roman" w:eastAsia="仿宋"/>
          <w:sz w:val="30"/>
          <w:lang w:val="zh-CN"/>
        </w:rPr>
      </w:pPr>
      <w:r>
        <w:rPr>
          <w:rFonts w:ascii="Times New Roman" w:hAnsi="Times New Roman" w:eastAsia="仿宋"/>
          <w:sz w:val="30"/>
        </w:rPr>
        <w:t>1</w:t>
      </w:r>
      <w:r>
        <w:rPr>
          <w:rFonts w:hint="eastAsia" w:ascii="Times New Roman" w:hAnsi="Times New Roman" w:eastAsia="仿宋"/>
          <w:sz w:val="30"/>
          <w:lang w:val="zh-CN"/>
        </w:rPr>
        <w:t>、“</w:t>
      </w:r>
      <w:r>
        <w:rPr>
          <w:rFonts w:hint="eastAsia" w:eastAsia="仿宋"/>
          <w:sz w:val="30"/>
          <w:lang w:val="zh-CN"/>
        </w:rPr>
        <w:t>文化旅游体育</w:t>
      </w:r>
      <w:r>
        <w:rPr>
          <w:rFonts w:hint="eastAsia" w:ascii="Times New Roman" w:hAnsi="Times New Roman" w:eastAsia="仿宋"/>
          <w:sz w:val="30"/>
          <w:lang w:val="zh-CN"/>
        </w:rPr>
        <w:t>与传媒支出”</w:t>
      </w:r>
      <w:r>
        <w:rPr>
          <w:rFonts w:ascii="Times New Roman" w:hAnsi="Times New Roman" w:eastAsia="仿宋"/>
          <w:kern w:val="2"/>
          <w:sz w:val="30"/>
          <w:lang w:val="zh-CN"/>
        </w:rPr>
        <w:t>9,846.3</w:t>
      </w:r>
      <w:r>
        <w:rPr>
          <w:rFonts w:hint="eastAsia" w:ascii="Times New Roman" w:hAnsi="Times New Roman" w:eastAsia="仿宋"/>
          <w:sz w:val="30"/>
          <w:lang w:val="zh-CN"/>
        </w:rPr>
        <w:t>万元，</w:t>
      </w:r>
      <w:r>
        <w:rPr>
          <w:rFonts w:hint="eastAsia" w:ascii="Times New Roman" w:hAnsi="Times New Roman" w:eastAsia="仿宋"/>
          <w:sz w:val="30"/>
        </w:rPr>
        <w:t>与</w:t>
      </w:r>
      <w:r>
        <w:rPr>
          <w:rFonts w:ascii="Times New Roman" w:hAnsi="Times New Roman" w:eastAsia="仿宋"/>
          <w:sz w:val="30"/>
        </w:rPr>
        <w:t>2024</w:t>
      </w:r>
      <w:r>
        <w:rPr>
          <w:rFonts w:hint="eastAsia" w:ascii="Times New Roman" w:hAnsi="Times New Roman" w:eastAsia="仿宋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减少</w:t>
      </w:r>
      <w:r>
        <w:rPr>
          <w:rFonts w:ascii="Times New Roman" w:hAnsi="Times New Roman" w:eastAsia="仿宋"/>
          <w:kern w:val="2"/>
          <w:sz w:val="30"/>
        </w:rPr>
        <w:t>467.0</w:t>
      </w:r>
      <w:r>
        <w:rPr>
          <w:rFonts w:hint="eastAsia" w:ascii="Times New Roman" w:hAnsi="Times New Roman" w:eastAsia="仿宋"/>
          <w:kern w:val="2"/>
          <w:sz w:val="30"/>
        </w:rPr>
        <w:t>万</w:t>
      </w:r>
      <w:r>
        <w:rPr>
          <w:rFonts w:hint="eastAsia" w:ascii="Times New Roman" w:hAnsi="Times New Roman" w:eastAsia="仿宋"/>
          <w:sz w:val="30"/>
          <w:lang w:val="zh-CN"/>
        </w:rPr>
        <w:t>元</w:t>
      </w:r>
      <w:r>
        <w:rPr>
          <w:rFonts w:hint="eastAsia" w:ascii="Times New Roman" w:hAnsi="Times New Roman" w:eastAsia="仿宋"/>
          <w:sz w:val="30"/>
        </w:rPr>
        <w:t>，主要原因是</w:t>
      </w:r>
      <w:r>
        <w:rPr>
          <w:rFonts w:hint="eastAsia" w:ascii="Times New Roman" w:hAnsi="Times New Roman" w:eastAsia="仿宋_GB2312"/>
          <w:kern w:val="2"/>
          <w:sz w:val="30"/>
        </w:rPr>
        <w:t>一般公共预算财政拨款收入减少，支出相应减少</w:t>
      </w:r>
      <w:r>
        <w:rPr>
          <w:rFonts w:hint="eastAsia" w:ascii="Times New Roman" w:hAnsi="Times New Roman" w:eastAsia="仿宋"/>
          <w:sz w:val="30"/>
        </w:rPr>
        <w:t>。</w:t>
      </w:r>
      <w:r>
        <w:rPr>
          <w:rFonts w:hint="eastAsia" w:ascii="Times New Roman" w:hAnsi="Times New Roman" w:eastAsia="仿宋"/>
          <w:sz w:val="30"/>
          <w:lang w:val="zh-CN"/>
        </w:rPr>
        <w:t>其中：</w:t>
      </w:r>
    </w:p>
    <w:p>
      <w:pPr>
        <w:spacing w:line="580" w:lineRule="exact"/>
        <w:ind w:firstLine="600"/>
        <w:jc w:val="both"/>
        <w:rPr>
          <w:rFonts w:ascii="Times New Roman" w:hAnsi="Times New Roman" w:eastAsia="仿宋"/>
          <w:sz w:val="30"/>
          <w:lang w:val="zh-CN"/>
        </w:rPr>
      </w:pPr>
      <w:r>
        <w:rPr>
          <w:rFonts w:hint="eastAsia" w:ascii="Times New Roman" w:hAnsi="Times New Roman" w:eastAsia="仿宋"/>
          <w:sz w:val="30"/>
          <w:lang w:val="zh-CN"/>
        </w:rPr>
        <w:t>“文物”</w:t>
      </w:r>
      <w:r>
        <w:rPr>
          <w:rFonts w:ascii="Times New Roman" w:hAnsi="Times New Roman" w:eastAsia="仿宋"/>
          <w:kern w:val="2"/>
          <w:sz w:val="30"/>
          <w:lang w:val="zh-CN"/>
        </w:rPr>
        <w:t>9,846.3</w:t>
      </w:r>
      <w:r>
        <w:rPr>
          <w:rFonts w:hint="eastAsia" w:ascii="Times New Roman" w:hAnsi="Times New Roman" w:eastAsia="仿宋"/>
          <w:sz w:val="30"/>
        </w:rPr>
        <w:t>万元，</w:t>
      </w:r>
      <w:r>
        <w:rPr>
          <w:rFonts w:hint="eastAsia" w:ascii="Times New Roman" w:hAnsi="Times New Roman" w:eastAsia="仿宋"/>
          <w:sz w:val="30"/>
          <w:lang w:val="zh-CN"/>
        </w:rPr>
        <w:t>包括</w:t>
      </w:r>
      <w:r>
        <w:rPr>
          <w:rFonts w:ascii="Times New Roman" w:hAnsi="Times New Roman" w:eastAsia="仿宋"/>
          <w:sz w:val="30"/>
          <w:lang w:val="zh-CN"/>
        </w:rPr>
        <w:t>:</w:t>
      </w:r>
      <w:r>
        <w:rPr>
          <w:rFonts w:hint="eastAsia" w:ascii="Times New Roman" w:hAnsi="Times New Roman" w:eastAsia="仿宋"/>
          <w:sz w:val="30"/>
        </w:rPr>
        <w:t>“文物保护”</w:t>
      </w:r>
      <w:r>
        <w:rPr>
          <w:rFonts w:ascii="Times New Roman" w:hAnsi="Times New Roman" w:eastAsia="仿宋"/>
          <w:sz w:val="30"/>
        </w:rPr>
        <w:t>614.0</w:t>
      </w:r>
      <w:r>
        <w:rPr>
          <w:rFonts w:hint="eastAsia" w:ascii="Times New Roman" w:hAnsi="Times New Roman" w:eastAsia="仿宋"/>
          <w:sz w:val="30"/>
        </w:rPr>
        <w:t>万元，主要用于：</w:t>
      </w:r>
      <w:r>
        <w:rPr>
          <w:rFonts w:hint="eastAsia" w:ascii="Times New Roman" w:hAnsi="Times New Roman" w:eastAsia="仿宋_GB2312"/>
          <w:kern w:val="2"/>
          <w:sz w:val="30"/>
        </w:rPr>
        <w:t>天津博物馆古籍库房珍贵文物预防性保护项目等国家文物保护支出</w:t>
      </w:r>
      <w:r>
        <w:rPr>
          <w:rFonts w:hint="eastAsia" w:ascii="Times New Roman" w:hAnsi="Times New Roman" w:eastAsia="仿宋"/>
          <w:sz w:val="30"/>
        </w:rPr>
        <w:t>；“博物馆”</w:t>
      </w:r>
      <w:r>
        <w:rPr>
          <w:rFonts w:ascii="Times New Roman" w:hAnsi="Times New Roman" w:eastAsia="仿宋"/>
          <w:sz w:val="30"/>
        </w:rPr>
        <w:t>9,232.3</w:t>
      </w:r>
      <w:r>
        <w:rPr>
          <w:rFonts w:hint="eastAsia" w:ascii="Times New Roman" w:hAnsi="Times New Roman" w:eastAsia="仿宋"/>
          <w:sz w:val="30"/>
        </w:rPr>
        <w:t>万元，主要用于：</w:t>
      </w:r>
      <w:r>
        <w:rPr>
          <w:rFonts w:hint="eastAsia" w:ascii="Times New Roman" w:hAnsi="Times New Roman" w:eastAsia="仿宋_GB2312"/>
          <w:kern w:val="2"/>
          <w:sz w:val="30"/>
        </w:rPr>
        <w:t>本单位人员、公用支出和项目支出等；</w:t>
      </w:r>
    </w:p>
    <w:p>
      <w:pPr>
        <w:spacing w:line="580" w:lineRule="exact"/>
        <w:ind w:firstLine="600"/>
        <w:rPr>
          <w:rFonts w:ascii="Times New Roman" w:hAnsi="Times New Roman" w:eastAsia="仿宋"/>
          <w:sz w:val="30"/>
        </w:rPr>
      </w:pPr>
      <w:r>
        <w:rPr>
          <w:rFonts w:ascii="Times New Roman" w:hAnsi="Times New Roman" w:eastAsia="仿宋"/>
          <w:sz w:val="30"/>
        </w:rPr>
        <w:t>2</w:t>
      </w:r>
      <w:r>
        <w:rPr>
          <w:rFonts w:hint="eastAsia" w:ascii="Times New Roman" w:hAnsi="Times New Roman" w:eastAsia="仿宋"/>
          <w:sz w:val="30"/>
          <w:lang w:val="zh-CN"/>
        </w:rPr>
        <w:t>、“社会保障和就业支出”</w:t>
      </w:r>
      <w:r>
        <w:rPr>
          <w:rFonts w:ascii="Times New Roman" w:hAnsi="Times New Roman" w:eastAsia="仿宋"/>
          <w:kern w:val="2"/>
          <w:sz w:val="30"/>
          <w:lang w:val="zh-CN"/>
        </w:rPr>
        <w:t>408.6</w:t>
      </w:r>
      <w:r>
        <w:rPr>
          <w:rFonts w:hint="eastAsia" w:ascii="Times New Roman" w:hAnsi="Times New Roman" w:eastAsia="仿宋"/>
          <w:sz w:val="30"/>
        </w:rPr>
        <w:t>万元，与</w:t>
      </w:r>
      <w:r>
        <w:rPr>
          <w:rFonts w:ascii="Times New Roman" w:hAnsi="Times New Roman" w:eastAsia="仿宋"/>
          <w:sz w:val="30"/>
        </w:rPr>
        <w:t>2024</w:t>
      </w:r>
      <w:r>
        <w:rPr>
          <w:rFonts w:hint="eastAsia" w:ascii="Times New Roman" w:hAnsi="Times New Roman" w:eastAsia="仿宋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减少</w:t>
      </w:r>
      <w:r>
        <w:rPr>
          <w:rFonts w:ascii="Times New Roman" w:hAnsi="Times New Roman" w:eastAsia="仿宋"/>
          <w:kern w:val="2"/>
          <w:sz w:val="30"/>
        </w:rPr>
        <w:t>20.4</w:t>
      </w:r>
      <w:r>
        <w:rPr>
          <w:rFonts w:hint="eastAsia" w:ascii="Times New Roman" w:hAnsi="Times New Roman" w:eastAsia="仿宋"/>
          <w:kern w:val="2"/>
          <w:sz w:val="30"/>
        </w:rPr>
        <w:t>万</w:t>
      </w:r>
      <w:r>
        <w:rPr>
          <w:rFonts w:hint="eastAsia" w:ascii="Times New Roman" w:hAnsi="Times New Roman" w:eastAsia="仿宋"/>
          <w:sz w:val="30"/>
          <w:lang w:val="zh-CN"/>
        </w:rPr>
        <w:t>元</w:t>
      </w:r>
      <w:r>
        <w:rPr>
          <w:rFonts w:hint="eastAsia" w:ascii="Times New Roman" w:hAnsi="Times New Roman" w:eastAsia="仿宋"/>
          <w:sz w:val="30"/>
        </w:rPr>
        <w:t>，主要原因是在职人员减少，单位缴纳养老保险和职业年金支出减少，其中：</w:t>
      </w:r>
    </w:p>
    <w:p>
      <w:pPr>
        <w:spacing w:line="580" w:lineRule="exact"/>
        <w:ind w:firstLine="600"/>
        <w:rPr>
          <w:rFonts w:ascii="Times New Roman" w:hAnsi="Times New Roman" w:eastAsia="仿宋"/>
          <w:sz w:val="30"/>
          <w:lang w:val="zh-CN"/>
        </w:rPr>
      </w:pPr>
      <w:r>
        <w:rPr>
          <w:rFonts w:hint="eastAsia" w:ascii="Times New Roman" w:hAnsi="Times New Roman" w:eastAsia="仿宋"/>
          <w:sz w:val="30"/>
          <w:lang w:val="zh-CN"/>
        </w:rPr>
        <w:t>“行政事业单位养老支出”</w:t>
      </w:r>
      <w:r>
        <w:rPr>
          <w:rFonts w:ascii="Times New Roman" w:hAnsi="Times New Roman" w:eastAsia="仿宋"/>
          <w:kern w:val="2"/>
          <w:sz w:val="30"/>
          <w:lang w:val="zh-CN"/>
        </w:rPr>
        <w:t>408.6</w:t>
      </w:r>
      <w:r>
        <w:rPr>
          <w:rFonts w:hint="eastAsia" w:ascii="Times New Roman" w:hAnsi="Times New Roman" w:eastAsia="仿宋"/>
          <w:sz w:val="30"/>
        </w:rPr>
        <w:t>万元，</w:t>
      </w:r>
      <w:r>
        <w:rPr>
          <w:rFonts w:hint="eastAsia" w:ascii="Times New Roman" w:hAnsi="Times New Roman" w:eastAsia="仿宋"/>
          <w:sz w:val="30"/>
          <w:lang w:val="zh-CN"/>
        </w:rPr>
        <w:t>包括</w:t>
      </w:r>
      <w:r>
        <w:rPr>
          <w:rFonts w:ascii="Times New Roman" w:hAnsi="Times New Roman" w:eastAsia="仿宋"/>
          <w:sz w:val="30"/>
          <w:lang w:val="zh-CN"/>
        </w:rPr>
        <w:t>:</w:t>
      </w:r>
      <w:r>
        <w:rPr>
          <w:rFonts w:hint="eastAsia" w:ascii="Times New Roman" w:hAnsi="Times New Roman" w:eastAsia="仿宋"/>
          <w:sz w:val="30"/>
        </w:rPr>
        <w:t>“机关事业单位基本养老保险缴费支出”</w:t>
      </w:r>
      <w:r>
        <w:rPr>
          <w:rFonts w:ascii="Times New Roman" w:hAnsi="Times New Roman" w:eastAsia="仿宋"/>
          <w:sz w:val="30"/>
        </w:rPr>
        <w:t>272.4</w:t>
      </w:r>
      <w:r>
        <w:rPr>
          <w:rFonts w:hint="eastAsia" w:ascii="Times New Roman" w:hAnsi="Times New Roman" w:eastAsia="仿宋"/>
          <w:sz w:val="30"/>
        </w:rPr>
        <w:t>万元，主要用于：</w:t>
      </w:r>
      <w:r>
        <w:rPr>
          <w:rFonts w:hint="eastAsia" w:ascii="Times New Roman" w:hAnsi="Times New Roman" w:eastAsia="仿宋_GB2312"/>
          <w:kern w:val="2"/>
          <w:sz w:val="30"/>
        </w:rPr>
        <w:t>缴纳单位人员养老保险</w:t>
      </w:r>
      <w:r>
        <w:rPr>
          <w:rFonts w:hint="eastAsia" w:ascii="Times New Roman" w:hAnsi="Times New Roman" w:eastAsia="仿宋"/>
          <w:sz w:val="30"/>
        </w:rPr>
        <w:t>；“机关事业单位职业年金缴费支出”</w:t>
      </w:r>
      <w:r>
        <w:rPr>
          <w:rFonts w:ascii="Times New Roman" w:hAnsi="Times New Roman" w:eastAsia="仿宋"/>
          <w:sz w:val="30"/>
        </w:rPr>
        <w:t>136.2</w:t>
      </w:r>
      <w:r>
        <w:rPr>
          <w:rFonts w:hint="eastAsia" w:ascii="Times New Roman" w:hAnsi="Times New Roman" w:eastAsia="仿宋"/>
          <w:sz w:val="30"/>
        </w:rPr>
        <w:t>万元，主要用于：</w:t>
      </w:r>
      <w:r>
        <w:rPr>
          <w:rFonts w:hint="eastAsia" w:ascii="Times New Roman" w:hAnsi="Times New Roman" w:eastAsia="仿宋_GB2312"/>
          <w:kern w:val="2"/>
          <w:sz w:val="30"/>
        </w:rPr>
        <w:t>缴纳单位人员职业年金</w:t>
      </w:r>
      <w:r>
        <w:rPr>
          <w:rFonts w:hint="eastAsia" w:ascii="Times New Roman" w:hAnsi="Times New Roman" w:eastAsia="仿宋"/>
          <w:sz w:val="30"/>
        </w:rPr>
        <w:t>；</w:t>
      </w:r>
    </w:p>
    <w:p>
      <w:pPr>
        <w:spacing w:line="580" w:lineRule="exact"/>
        <w:ind w:firstLine="600"/>
        <w:rPr>
          <w:rFonts w:ascii="Times New Roman" w:hAnsi="Times New Roman" w:eastAsia="仿宋"/>
          <w:sz w:val="30"/>
        </w:rPr>
      </w:pPr>
      <w:r>
        <w:rPr>
          <w:rFonts w:ascii="Times New Roman" w:hAnsi="Times New Roman" w:eastAsia="仿宋"/>
          <w:sz w:val="30"/>
        </w:rPr>
        <w:t>3</w:t>
      </w:r>
      <w:r>
        <w:rPr>
          <w:rFonts w:hint="eastAsia" w:ascii="Times New Roman" w:hAnsi="Times New Roman" w:eastAsia="仿宋"/>
          <w:sz w:val="30"/>
          <w:lang w:val="zh-CN"/>
        </w:rPr>
        <w:t>、“卫生健康支出”</w:t>
      </w:r>
      <w:r>
        <w:rPr>
          <w:rFonts w:ascii="Times New Roman" w:hAnsi="Times New Roman" w:eastAsia="仿宋"/>
          <w:kern w:val="2"/>
          <w:sz w:val="30"/>
          <w:lang w:val="zh-CN"/>
        </w:rPr>
        <w:t>252.1</w:t>
      </w:r>
      <w:r>
        <w:rPr>
          <w:rFonts w:hint="eastAsia" w:ascii="Times New Roman" w:hAnsi="Times New Roman" w:eastAsia="仿宋"/>
          <w:sz w:val="30"/>
        </w:rPr>
        <w:t>万元，与</w:t>
      </w:r>
      <w:r>
        <w:rPr>
          <w:rFonts w:ascii="Times New Roman" w:hAnsi="Times New Roman" w:eastAsia="仿宋"/>
          <w:sz w:val="30"/>
        </w:rPr>
        <w:t>2024</w:t>
      </w:r>
      <w:r>
        <w:rPr>
          <w:rFonts w:hint="eastAsia" w:ascii="Times New Roman" w:hAnsi="Times New Roman" w:eastAsia="仿宋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减少</w:t>
      </w:r>
      <w:r>
        <w:rPr>
          <w:rFonts w:ascii="Times New Roman" w:hAnsi="Times New Roman" w:eastAsia="仿宋"/>
          <w:kern w:val="2"/>
          <w:sz w:val="30"/>
        </w:rPr>
        <w:t>1.5</w:t>
      </w:r>
      <w:r>
        <w:rPr>
          <w:rFonts w:hint="eastAsia" w:ascii="Times New Roman" w:hAnsi="Times New Roman" w:eastAsia="仿宋"/>
          <w:kern w:val="2"/>
          <w:sz w:val="30"/>
        </w:rPr>
        <w:t>万</w:t>
      </w:r>
      <w:r>
        <w:rPr>
          <w:rFonts w:hint="eastAsia" w:ascii="Times New Roman" w:hAnsi="Times New Roman" w:eastAsia="仿宋"/>
          <w:sz w:val="30"/>
          <w:lang w:val="zh-CN"/>
        </w:rPr>
        <w:t>元</w:t>
      </w:r>
      <w:r>
        <w:rPr>
          <w:rFonts w:hint="eastAsia" w:ascii="Times New Roman" w:hAnsi="Times New Roman" w:eastAsia="仿宋"/>
          <w:sz w:val="30"/>
        </w:rPr>
        <w:t>，主要原因是在职人员减少，单位缴纳医疗保险等支出减少，其中：</w:t>
      </w:r>
    </w:p>
    <w:p>
      <w:pPr>
        <w:spacing w:line="580" w:lineRule="exact"/>
        <w:ind w:firstLine="600"/>
        <w:rPr>
          <w:rFonts w:ascii="Times New Roman" w:hAnsi="Times New Roman" w:eastAsia="仿宋_GB2312"/>
          <w:sz w:val="30"/>
          <w:lang w:val="zh-CN"/>
        </w:rPr>
      </w:pPr>
      <w:r>
        <w:rPr>
          <w:rFonts w:hint="eastAsia" w:ascii="Times New Roman" w:hAnsi="Times New Roman" w:eastAsia="仿宋"/>
          <w:sz w:val="30"/>
          <w:lang w:val="zh-CN"/>
        </w:rPr>
        <w:t>“行政事业单位医疗”</w:t>
      </w:r>
      <w:r>
        <w:rPr>
          <w:rFonts w:ascii="Times New Roman" w:hAnsi="Times New Roman" w:eastAsia="仿宋"/>
          <w:kern w:val="2"/>
          <w:sz w:val="30"/>
          <w:lang w:val="zh-CN"/>
        </w:rPr>
        <w:t>252.1</w:t>
      </w:r>
      <w:r>
        <w:rPr>
          <w:rFonts w:hint="eastAsia" w:ascii="Times New Roman" w:hAnsi="Times New Roman" w:eastAsia="仿宋"/>
          <w:sz w:val="30"/>
        </w:rPr>
        <w:t>万元，</w:t>
      </w:r>
      <w:r>
        <w:rPr>
          <w:rFonts w:hint="eastAsia" w:ascii="Times New Roman" w:hAnsi="Times New Roman" w:eastAsia="仿宋"/>
          <w:sz w:val="30"/>
          <w:lang w:val="zh-CN"/>
        </w:rPr>
        <w:t>包括</w:t>
      </w:r>
      <w:r>
        <w:rPr>
          <w:rFonts w:ascii="Times New Roman" w:hAnsi="Times New Roman" w:eastAsia="仿宋"/>
          <w:sz w:val="30"/>
          <w:lang w:val="zh-CN"/>
        </w:rPr>
        <w:t>:</w:t>
      </w:r>
      <w:r>
        <w:rPr>
          <w:rFonts w:hint="eastAsia" w:ascii="Times New Roman" w:hAnsi="Times New Roman" w:eastAsia="仿宋"/>
          <w:sz w:val="30"/>
        </w:rPr>
        <w:t>“事业单位医疗”</w:t>
      </w:r>
      <w:r>
        <w:rPr>
          <w:rFonts w:ascii="Times New Roman" w:hAnsi="Times New Roman" w:eastAsia="仿宋"/>
          <w:sz w:val="30"/>
        </w:rPr>
        <w:t>182.8</w:t>
      </w:r>
      <w:r>
        <w:rPr>
          <w:rFonts w:hint="eastAsia" w:ascii="Times New Roman" w:hAnsi="Times New Roman" w:eastAsia="仿宋"/>
          <w:sz w:val="30"/>
        </w:rPr>
        <w:t>万元，主要用于：</w:t>
      </w:r>
      <w:r>
        <w:rPr>
          <w:rFonts w:hint="eastAsia" w:ascii="Times New Roman" w:hAnsi="Times New Roman" w:eastAsia="仿宋_GB2312"/>
          <w:kern w:val="2"/>
          <w:sz w:val="30"/>
        </w:rPr>
        <w:t>缴纳单位人员医疗保险</w:t>
      </w:r>
      <w:r>
        <w:rPr>
          <w:rFonts w:hint="eastAsia" w:ascii="Times New Roman" w:hAnsi="Times New Roman" w:eastAsia="仿宋"/>
          <w:sz w:val="30"/>
        </w:rPr>
        <w:t>；“其他行政事业单位医疗支出”</w:t>
      </w:r>
      <w:r>
        <w:rPr>
          <w:rFonts w:ascii="Times New Roman" w:hAnsi="Times New Roman" w:eastAsia="仿宋"/>
          <w:sz w:val="30"/>
        </w:rPr>
        <w:t>69.3</w:t>
      </w:r>
      <w:r>
        <w:rPr>
          <w:rFonts w:hint="eastAsia" w:ascii="Times New Roman" w:hAnsi="Times New Roman" w:eastAsia="仿宋"/>
          <w:sz w:val="30"/>
        </w:rPr>
        <w:t>万元，主要用于：</w:t>
      </w:r>
      <w:r>
        <w:rPr>
          <w:rFonts w:hint="eastAsia" w:ascii="Times New Roman" w:hAnsi="Times New Roman" w:eastAsia="仿宋_GB2312"/>
          <w:kern w:val="2"/>
          <w:sz w:val="30"/>
        </w:rPr>
        <w:t>单位人员医疗补助</w:t>
      </w:r>
      <w:r>
        <w:rPr>
          <w:rFonts w:hint="eastAsia" w:ascii="Times New Roman" w:hAnsi="Times New Roman" w:eastAsia="仿宋"/>
          <w:sz w:val="30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六、关于一般公共预算基本支出情况表的说明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</w:rPr>
        <w:t>一般公共预算基本支出</w:t>
      </w:r>
      <w:r>
        <w:rPr>
          <w:rFonts w:ascii="Times New Roman" w:hAnsi="Times New Roman" w:eastAsia="仿宋"/>
          <w:kern w:val="2"/>
          <w:sz w:val="30"/>
          <w:lang w:val="zh-CN"/>
        </w:rPr>
        <w:t>4,930.6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，与</w:t>
      </w:r>
      <w:r>
        <w:rPr>
          <w:rFonts w:ascii="Times New Roman" w:hAnsi="Times New Roman" w:eastAsia="仿宋_GB2312"/>
          <w:kern w:val="2"/>
          <w:sz w:val="30"/>
        </w:rPr>
        <w:t>2024</w:t>
      </w:r>
      <w:r>
        <w:rPr>
          <w:rFonts w:hint="eastAsia" w:ascii="Times New Roman" w:hAnsi="Times New Roman" w:eastAsia="仿宋_GB2312"/>
          <w:kern w:val="2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增加</w:t>
      </w:r>
      <w:r>
        <w:rPr>
          <w:rFonts w:ascii="Times New Roman" w:hAnsi="Times New Roman" w:eastAsia="仿宋"/>
          <w:kern w:val="2"/>
          <w:sz w:val="30"/>
        </w:rPr>
        <w:t>79.1</w:t>
      </w:r>
      <w:r>
        <w:rPr>
          <w:rFonts w:hint="eastAsia" w:ascii="Times New Roman" w:hAnsi="Times New Roman" w:eastAsia="仿宋"/>
          <w:kern w:val="2"/>
          <w:sz w:val="30"/>
        </w:rPr>
        <w:t>万</w:t>
      </w:r>
      <w:r>
        <w:rPr>
          <w:rFonts w:hint="eastAsia" w:ascii="Times New Roman" w:hAnsi="Times New Roman" w:eastAsia="仿宋_GB2312"/>
          <w:kern w:val="2"/>
          <w:sz w:val="30"/>
        </w:rPr>
        <w:t>元，主要原因是在职人员公积金基数上涨，且每年薪级调整等造成人员经费支出增加。其中：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人员经费</w:t>
      </w:r>
      <w:r>
        <w:rPr>
          <w:rFonts w:ascii="Times New Roman" w:hAnsi="Times New Roman" w:eastAsia="仿宋_GB2312"/>
          <w:kern w:val="2"/>
          <w:sz w:val="30"/>
          <w:lang w:val="zh-CN"/>
        </w:rPr>
        <w:t>4,487.0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，主要包括：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“基本工资”</w:t>
      </w:r>
      <w:r>
        <w:rPr>
          <w:rFonts w:ascii="Times New Roman" w:hAnsi="Times New Roman" w:eastAsia="仿宋_GB2312"/>
          <w:kern w:val="2"/>
          <w:sz w:val="30"/>
          <w:lang w:val="zh-CN"/>
        </w:rPr>
        <w:t>840.0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万元、“津贴补贴”</w:t>
      </w:r>
      <w:r>
        <w:rPr>
          <w:rFonts w:ascii="Times New Roman" w:hAnsi="Times New Roman" w:eastAsia="仿宋_GB2312"/>
          <w:kern w:val="2"/>
          <w:sz w:val="30"/>
          <w:lang w:val="zh-CN"/>
        </w:rPr>
        <w:t>440.0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万元、“绩效工资”</w:t>
      </w:r>
      <w:r>
        <w:rPr>
          <w:rFonts w:ascii="Times New Roman" w:hAnsi="Times New Roman" w:eastAsia="仿宋_GB2312"/>
          <w:kern w:val="2"/>
          <w:sz w:val="30"/>
          <w:lang w:val="zh-CN"/>
        </w:rPr>
        <w:t>1,284.3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万元、“机关事业单位基本养老保险缴费”</w:t>
      </w:r>
      <w:r>
        <w:rPr>
          <w:rFonts w:ascii="Times New Roman" w:hAnsi="Times New Roman" w:eastAsia="仿宋_GB2312"/>
          <w:kern w:val="2"/>
          <w:sz w:val="30"/>
          <w:lang w:val="zh-CN"/>
        </w:rPr>
        <w:t>272.4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万元、“职业年金缴费”</w:t>
      </w:r>
      <w:r>
        <w:rPr>
          <w:rFonts w:ascii="Times New Roman" w:hAnsi="Times New Roman" w:eastAsia="仿宋_GB2312"/>
          <w:kern w:val="2"/>
          <w:sz w:val="30"/>
          <w:lang w:val="zh-CN"/>
        </w:rPr>
        <w:t>136.2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万元、“职工基本医疗保险缴费”</w:t>
      </w:r>
      <w:r>
        <w:rPr>
          <w:rFonts w:ascii="Times New Roman" w:hAnsi="Times New Roman" w:eastAsia="仿宋_GB2312"/>
          <w:kern w:val="2"/>
          <w:sz w:val="30"/>
          <w:lang w:val="zh-CN"/>
        </w:rPr>
        <w:t>178.8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万元、“住房公积金”</w:t>
      </w:r>
      <w:r>
        <w:rPr>
          <w:rFonts w:ascii="Times New Roman" w:hAnsi="Times New Roman" w:eastAsia="仿宋_GB2312"/>
          <w:kern w:val="2"/>
          <w:sz w:val="30"/>
          <w:lang w:val="zh-CN"/>
        </w:rPr>
        <w:t>970.6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万元、“医疗费”</w:t>
      </w:r>
      <w:r>
        <w:rPr>
          <w:rFonts w:ascii="Times New Roman" w:hAnsi="Times New Roman" w:eastAsia="仿宋_GB2312"/>
          <w:kern w:val="2"/>
          <w:sz w:val="30"/>
          <w:lang w:val="zh-CN"/>
        </w:rPr>
        <w:t>59.3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万元、“其他工资福利支出”</w:t>
      </w:r>
      <w:r>
        <w:rPr>
          <w:rFonts w:ascii="Times New Roman" w:hAnsi="Times New Roman" w:eastAsia="仿宋_GB2312"/>
          <w:kern w:val="2"/>
          <w:sz w:val="30"/>
          <w:lang w:val="zh-CN"/>
        </w:rPr>
        <w:t>144.2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万元、“离休费”</w:t>
      </w:r>
      <w:r>
        <w:rPr>
          <w:rFonts w:ascii="Times New Roman" w:hAnsi="Times New Roman" w:eastAsia="仿宋_GB2312"/>
          <w:kern w:val="2"/>
          <w:sz w:val="30"/>
          <w:lang w:val="zh-CN"/>
        </w:rPr>
        <w:t>53.0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万元、“退休费”</w:t>
      </w:r>
      <w:r>
        <w:rPr>
          <w:rFonts w:ascii="Times New Roman" w:hAnsi="Times New Roman" w:eastAsia="仿宋_GB2312"/>
          <w:kern w:val="2"/>
          <w:sz w:val="30"/>
          <w:lang w:val="zh-CN"/>
        </w:rPr>
        <w:t>94.0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万元、“医疗费补助”</w:t>
      </w:r>
      <w:r>
        <w:rPr>
          <w:rFonts w:ascii="Times New Roman" w:hAnsi="Times New Roman" w:eastAsia="仿宋_GB2312"/>
          <w:kern w:val="2"/>
          <w:sz w:val="30"/>
          <w:lang w:val="zh-CN"/>
        </w:rPr>
        <w:t>14.0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万元、“奖励金”</w:t>
      </w:r>
      <w:r>
        <w:rPr>
          <w:rFonts w:ascii="Times New Roman" w:hAnsi="Times New Roman" w:eastAsia="仿宋_GB2312"/>
          <w:kern w:val="2"/>
          <w:sz w:val="30"/>
          <w:lang w:val="zh-CN"/>
        </w:rPr>
        <w:t>0.2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万元。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公用经费</w:t>
      </w:r>
      <w:r>
        <w:rPr>
          <w:rFonts w:ascii="Times New Roman" w:hAnsi="Times New Roman" w:eastAsia="仿宋_GB2312"/>
          <w:kern w:val="2"/>
          <w:sz w:val="30"/>
          <w:lang w:val="zh-CN"/>
        </w:rPr>
        <w:t>443.6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，主要包括：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  <w:lang w:val="zh-CN"/>
        </w:rPr>
        <w:t>“办公费”</w:t>
      </w:r>
      <w:r>
        <w:rPr>
          <w:rFonts w:ascii="Times New Roman" w:hAnsi="Times New Roman" w:eastAsia="仿宋_GB2312"/>
          <w:kern w:val="2"/>
          <w:sz w:val="30"/>
          <w:lang w:val="zh-CN"/>
        </w:rPr>
        <w:t>78.0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万元、“印刷费”</w:t>
      </w:r>
      <w:r>
        <w:rPr>
          <w:rFonts w:ascii="Times New Roman" w:hAnsi="Times New Roman" w:eastAsia="仿宋_GB2312"/>
          <w:kern w:val="2"/>
          <w:sz w:val="30"/>
          <w:lang w:val="zh-CN"/>
        </w:rPr>
        <w:t>10.0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万元、“手续费”</w:t>
      </w:r>
      <w:r>
        <w:rPr>
          <w:rFonts w:ascii="Times New Roman" w:hAnsi="Times New Roman" w:eastAsia="仿宋_GB2312"/>
          <w:kern w:val="2"/>
          <w:sz w:val="30"/>
          <w:lang w:val="zh-CN"/>
        </w:rPr>
        <w:t>0.6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万元、“水费”</w:t>
      </w:r>
      <w:r>
        <w:rPr>
          <w:rFonts w:ascii="Times New Roman" w:hAnsi="Times New Roman" w:eastAsia="仿宋_GB2312"/>
          <w:kern w:val="2"/>
          <w:sz w:val="30"/>
          <w:lang w:val="zh-CN"/>
        </w:rPr>
        <w:t>5.0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万元、“电费”</w:t>
      </w:r>
      <w:r>
        <w:rPr>
          <w:rFonts w:ascii="Times New Roman" w:hAnsi="Times New Roman" w:eastAsia="仿宋_GB2312"/>
          <w:kern w:val="2"/>
          <w:sz w:val="30"/>
          <w:lang w:val="zh-CN"/>
        </w:rPr>
        <w:t>100.0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万元、“邮电费”</w:t>
      </w:r>
      <w:r>
        <w:rPr>
          <w:rFonts w:ascii="Times New Roman" w:hAnsi="Times New Roman" w:eastAsia="仿宋_GB2312"/>
          <w:kern w:val="2"/>
          <w:sz w:val="30"/>
          <w:lang w:val="zh-CN"/>
        </w:rPr>
        <w:t>4.8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万元、“差旅费”</w:t>
      </w:r>
      <w:r>
        <w:rPr>
          <w:rFonts w:ascii="Times New Roman" w:hAnsi="Times New Roman" w:eastAsia="仿宋_GB2312"/>
          <w:kern w:val="2"/>
          <w:sz w:val="30"/>
          <w:lang w:val="zh-CN"/>
        </w:rPr>
        <w:t>44.4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万元、“会议费”</w:t>
      </w:r>
      <w:r>
        <w:rPr>
          <w:rFonts w:ascii="Times New Roman" w:hAnsi="Times New Roman" w:eastAsia="仿宋_GB2312"/>
          <w:kern w:val="2"/>
          <w:sz w:val="30"/>
          <w:lang w:val="zh-CN"/>
        </w:rPr>
        <w:t>2.0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万元、“培训费”</w:t>
      </w:r>
      <w:r>
        <w:rPr>
          <w:rFonts w:ascii="Times New Roman" w:hAnsi="Times New Roman" w:eastAsia="仿宋_GB2312"/>
          <w:kern w:val="2"/>
          <w:sz w:val="30"/>
          <w:lang w:val="zh-CN"/>
        </w:rPr>
        <w:t>7.0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万元、“公务接待费”</w:t>
      </w:r>
      <w:r>
        <w:rPr>
          <w:rFonts w:ascii="Times New Roman" w:hAnsi="Times New Roman" w:eastAsia="仿宋_GB2312"/>
          <w:kern w:val="2"/>
          <w:sz w:val="30"/>
          <w:lang w:val="zh-CN"/>
        </w:rPr>
        <w:t>1.6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万元、“专用材料费”</w:t>
      </w:r>
      <w:r>
        <w:rPr>
          <w:rFonts w:ascii="Times New Roman" w:hAnsi="Times New Roman" w:eastAsia="仿宋_GB2312"/>
          <w:kern w:val="2"/>
          <w:sz w:val="30"/>
          <w:lang w:val="zh-CN"/>
        </w:rPr>
        <w:t>40.1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万元、“工会经费”</w:t>
      </w:r>
      <w:r>
        <w:rPr>
          <w:rFonts w:ascii="Times New Roman" w:hAnsi="Times New Roman" w:eastAsia="仿宋_GB2312"/>
          <w:kern w:val="2"/>
          <w:sz w:val="30"/>
          <w:lang w:val="zh-CN"/>
        </w:rPr>
        <w:t>34.6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万元、“福利费”</w:t>
      </w:r>
      <w:r>
        <w:rPr>
          <w:rFonts w:ascii="Times New Roman" w:hAnsi="Times New Roman" w:eastAsia="仿宋_GB2312"/>
          <w:kern w:val="2"/>
          <w:sz w:val="30"/>
          <w:lang w:val="zh-CN"/>
        </w:rPr>
        <w:t>70.0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万元、“公务用车运行维护费”</w:t>
      </w:r>
      <w:r>
        <w:rPr>
          <w:rFonts w:ascii="Times New Roman" w:hAnsi="Times New Roman" w:eastAsia="仿宋_GB2312"/>
          <w:kern w:val="2"/>
          <w:sz w:val="30"/>
          <w:lang w:val="zh-CN"/>
        </w:rPr>
        <w:t>1.6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万元、“其他交通费用”</w:t>
      </w:r>
      <w:r>
        <w:rPr>
          <w:rFonts w:ascii="Times New Roman" w:hAnsi="Times New Roman" w:eastAsia="仿宋_GB2312"/>
          <w:kern w:val="2"/>
          <w:sz w:val="30"/>
          <w:lang w:val="zh-CN"/>
        </w:rPr>
        <w:t>10.0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万元、“其他商品和服务支出”</w:t>
      </w:r>
      <w:r>
        <w:rPr>
          <w:rFonts w:ascii="Times New Roman" w:hAnsi="Times New Roman" w:eastAsia="仿宋_GB2312"/>
          <w:kern w:val="2"/>
          <w:sz w:val="30"/>
          <w:lang w:val="zh-CN"/>
        </w:rPr>
        <w:t>25.0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万元、“办公设备购置”</w:t>
      </w:r>
      <w:r>
        <w:rPr>
          <w:rFonts w:ascii="Times New Roman" w:hAnsi="Times New Roman" w:eastAsia="仿宋_GB2312"/>
          <w:kern w:val="2"/>
          <w:sz w:val="30"/>
          <w:lang w:val="zh-CN"/>
        </w:rPr>
        <w:t>2.8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万元、“文物和陈列品购置”</w:t>
      </w:r>
      <w:r>
        <w:rPr>
          <w:rFonts w:ascii="Times New Roman" w:hAnsi="Times New Roman" w:eastAsia="仿宋_GB2312"/>
          <w:kern w:val="2"/>
          <w:sz w:val="30"/>
          <w:lang w:val="zh-CN"/>
        </w:rPr>
        <w:t>0.1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万元、“其他资本性支出”</w:t>
      </w:r>
      <w:r>
        <w:rPr>
          <w:rFonts w:ascii="Times New Roman" w:hAnsi="Times New Roman" w:eastAsia="仿宋_GB2312"/>
          <w:kern w:val="2"/>
          <w:sz w:val="30"/>
          <w:lang w:val="zh-CN"/>
        </w:rPr>
        <w:t>6.0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万元。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七、关于一般公共预算“三公”经费支出情况表的说明</w:t>
      </w:r>
    </w:p>
    <w:p>
      <w:pPr>
        <w:spacing w:line="56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年一般公共预算“三公”经费安排</w:t>
      </w:r>
      <w:r>
        <w:rPr>
          <w:rFonts w:ascii="Times New Roman" w:hAnsi="Times New Roman" w:eastAsia="仿宋"/>
          <w:kern w:val="2"/>
          <w:sz w:val="30"/>
          <w:lang w:val="zh-CN"/>
        </w:rPr>
        <w:t>3.2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，与</w:t>
      </w:r>
      <w:r>
        <w:rPr>
          <w:rFonts w:ascii="Times New Roman" w:hAnsi="Times New Roman" w:eastAsia="仿宋_GB2312"/>
          <w:kern w:val="2"/>
          <w:sz w:val="30"/>
        </w:rPr>
        <w:t>2024</w:t>
      </w:r>
      <w:r>
        <w:rPr>
          <w:rFonts w:hint="eastAsia" w:ascii="Times New Roman" w:hAnsi="Times New Roman" w:eastAsia="仿宋_GB2312"/>
          <w:kern w:val="2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持平</w:t>
      </w:r>
      <w:r>
        <w:rPr>
          <w:rFonts w:hint="eastAsia" w:ascii="Times New Roman" w:hAnsi="Times New Roman" w:eastAsia="仿宋_GB2312"/>
          <w:kern w:val="2"/>
          <w:sz w:val="30"/>
        </w:rPr>
        <w:t>，主要原因是落实过紧日子的要求，严控“三公”经费支出。具体情况：</w:t>
      </w:r>
    </w:p>
    <w:p>
      <w:pPr>
        <w:spacing w:line="56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一、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年因公出国（境）费预算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，与</w:t>
      </w:r>
      <w:r>
        <w:rPr>
          <w:rFonts w:ascii="Times New Roman" w:hAnsi="Times New Roman" w:eastAsia="仿宋_GB2312"/>
          <w:kern w:val="2"/>
          <w:sz w:val="30"/>
        </w:rPr>
        <w:t>2024</w:t>
      </w:r>
      <w:r>
        <w:rPr>
          <w:rFonts w:hint="eastAsia" w:ascii="Times New Roman" w:hAnsi="Times New Roman" w:eastAsia="仿宋_GB2312"/>
          <w:kern w:val="2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持平</w:t>
      </w:r>
      <w:r>
        <w:rPr>
          <w:rFonts w:hint="eastAsia" w:ascii="Times New Roman" w:hAnsi="Times New Roman" w:eastAsia="仿宋_GB2312"/>
          <w:kern w:val="2"/>
          <w:sz w:val="30"/>
        </w:rPr>
        <w:t>，主要原因是本单位一般公共预算未安排‘因公出国（境）费’经费。</w:t>
      </w:r>
    </w:p>
    <w:p>
      <w:pPr>
        <w:spacing w:line="56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二、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年公务用车购置及运行费预算</w:t>
      </w:r>
      <w:r>
        <w:rPr>
          <w:rFonts w:ascii="Times New Roman" w:hAnsi="Times New Roman" w:eastAsia="仿宋"/>
          <w:kern w:val="2"/>
          <w:sz w:val="30"/>
          <w:lang w:val="zh-CN"/>
        </w:rPr>
        <w:t>1.6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，其中公务用车运行费</w:t>
      </w:r>
      <w:r>
        <w:rPr>
          <w:rFonts w:ascii="Times New Roman" w:hAnsi="Times New Roman" w:eastAsia="仿宋"/>
          <w:kern w:val="2"/>
          <w:sz w:val="30"/>
          <w:lang w:val="zh-CN"/>
        </w:rPr>
        <w:t>1.6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与</w:t>
      </w:r>
      <w:r>
        <w:rPr>
          <w:rFonts w:ascii="Times New Roman" w:hAnsi="Times New Roman" w:eastAsia="仿宋_GB2312"/>
          <w:kern w:val="2"/>
          <w:sz w:val="30"/>
          <w:highlight w:val="white"/>
        </w:rPr>
        <w:t>2024</w:t>
      </w:r>
      <w:r>
        <w:rPr>
          <w:rFonts w:hint="eastAsia" w:ascii="Times New Roman" w:hAnsi="Times New Roman" w:eastAsia="仿宋_GB2312"/>
          <w:kern w:val="2"/>
          <w:sz w:val="30"/>
          <w:highlight w:val="white"/>
        </w:rPr>
        <w:t>年预算</w:t>
      </w:r>
      <w:r>
        <w:rPr>
          <w:rFonts w:hint="eastAsia" w:ascii="Times New Roman" w:hAnsi="Times New Roman" w:eastAsia="仿宋_GB2312"/>
          <w:kern w:val="2"/>
          <w:sz w:val="30"/>
        </w:rPr>
        <w:t>相比</w:t>
      </w:r>
      <w:r>
        <w:rPr>
          <w:rFonts w:hint="eastAsia" w:ascii="Times New Roman" w:hAnsi="Times New Roman" w:eastAsia="仿宋"/>
          <w:kern w:val="2"/>
          <w:sz w:val="30"/>
        </w:rPr>
        <w:t>持平</w:t>
      </w:r>
      <w:r>
        <w:rPr>
          <w:rFonts w:hint="eastAsia" w:ascii="Times New Roman" w:hAnsi="Times New Roman" w:eastAsia="仿宋_GB2312"/>
          <w:kern w:val="2"/>
          <w:sz w:val="30"/>
        </w:rPr>
        <w:t>，主要原因是落实过紧日子的要求，严控公务用车运行费支出；公务用车购置费</w:t>
      </w:r>
      <w:r>
        <w:rPr>
          <w:rFonts w:ascii="Times New Roman" w:hAnsi="Times New Roman" w:eastAsia="仿宋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，与</w:t>
      </w:r>
      <w:r>
        <w:rPr>
          <w:rFonts w:ascii="Times New Roman" w:hAnsi="Times New Roman" w:eastAsia="仿宋_GB2312"/>
          <w:kern w:val="2"/>
          <w:sz w:val="30"/>
        </w:rPr>
        <w:t>2024</w:t>
      </w:r>
      <w:r>
        <w:rPr>
          <w:rFonts w:hint="eastAsia" w:ascii="Times New Roman" w:hAnsi="Times New Roman" w:eastAsia="仿宋_GB2312"/>
          <w:kern w:val="2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持平</w:t>
      </w:r>
      <w:r>
        <w:rPr>
          <w:rFonts w:hint="eastAsia" w:ascii="Times New Roman" w:hAnsi="Times New Roman" w:eastAsia="仿宋_GB2312"/>
          <w:kern w:val="2"/>
          <w:sz w:val="30"/>
        </w:rPr>
        <w:t>，主要原因是本单位一般公共预算未安排‘公务用车购置费’经费。</w:t>
      </w:r>
    </w:p>
    <w:p>
      <w:pPr>
        <w:spacing w:line="560" w:lineRule="exact"/>
        <w:ind w:firstLine="645"/>
        <w:jc w:val="both"/>
        <w:rPr>
          <w:rFonts w:ascii="Times New Roman" w:hAnsi="Times New Roman" w:eastAsia="Times New Roman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三、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年公务接待费预算</w:t>
      </w:r>
      <w:r>
        <w:rPr>
          <w:rFonts w:ascii="Times New Roman" w:hAnsi="Times New Roman" w:eastAsia="仿宋"/>
          <w:kern w:val="2"/>
          <w:sz w:val="30"/>
          <w:lang w:val="zh-CN"/>
        </w:rPr>
        <w:t>1.6</w:t>
      </w:r>
      <w:r>
        <w:rPr>
          <w:rFonts w:hint="eastAsia" w:ascii="Times New Roman" w:hAnsi="Times New Roman" w:eastAsia="仿宋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</w:rPr>
        <w:t>，与</w:t>
      </w:r>
      <w:r>
        <w:rPr>
          <w:rFonts w:ascii="Times New Roman" w:hAnsi="Times New Roman" w:eastAsia="仿宋_GB2312"/>
          <w:kern w:val="2"/>
          <w:sz w:val="30"/>
        </w:rPr>
        <w:t>2024</w:t>
      </w:r>
      <w:r>
        <w:rPr>
          <w:rFonts w:hint="eastAsia" w:ascii="Times New Roman" w:hAnsi="Times New Roman" w:eastAsia="仿宋_GB2312"/>
          <w:kern w:val="2"/>
          <w:sz w:val="30"/>
        </w:rPr>
        <w:t>年预算相比</w:t>
      </w:r>
      <w:r>
        <w:rPr>
          <w:rFonts w:hint="eastAsia" w:ascii="Times New Roman" w:hAnsi="Times New Roman" w:eastAsia="仿宋"/>
          <w:kern w:val="2"/>
          <w:sz w:val="30"/>
        </w:rPr>
        <w:t>持平</w:t>
      </w:r>
      <w:r>
        <w:rPr>
          <w:rFonts w:hint="eastAsia" w:ascii="Times New Roman" w:hAnsi="Times New Roman" w:eastAsia="仿宋_GB2312"/>
          <w:kern w:val="2"/>
          <w:sz w:val="30"/>
        </w:rPr>
        <w:t>，主要原因是落实过紧日子的要求，严控公务接待费支出。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Times New Roman"/>
          <w:kern w:val="2"/>
          <w:sz w:val="21"/>
          <w:lang w:val="zh-CN"/>
        </w:rPr>
      </w:pPr>
      <w:r>
        <w:rPr>
          <w:rFonts w:hint="eastAsia" w:ascii="Times New Roman" w:hAnsi="Times New Roman" w:eastAsia="黑体"/>
          <w:sz w:val="30"/>
        </w:rPr>
        <w:t>八、关于政府性基金预算支出情况表的说明</w:t>
      </w:r>
    </w:p>
    <w:p>
      <w:pPr>
        <w:spacing w:line="560" w:lineRule="exact"/>
        <w:ind w:firstLine="645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</w:rPr>
        <w:t>预算中没有使用政府性基金预算安排的支出。</w:t>
      </w:r>
    </w:p>
    <w:p>
      <w:pPr>
        <w:spacing w:line="560" w:lineRule="exact"/>
        <w:ind w:firstLine="645"/>
        <w:jc w:val="both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九、关于国有资本经营预算支出情况表的说明</w:t>
      </w:r>
    </w:p>
    <w:p>
      <w:pPr>
        <w:spacing w:line="560" w:lineRule="exact"/>
        <w:ind w:firstLine="645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ascii="Times New Roman" w:hAnsi="Times New Roman" w:eastAsia="仿宋_GB2312"/>
          <w:kern w:val="2"/>
          <w:sz w:val="30"/>
          <w:lang w:val="zh-CN"/>
        </w:rPr>
        <w:t>2025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年天津博物馆</w:t>
      </w:r>
      <w:r>
        <w:rPr>
          <w:rFonts w:hint="eastAsia" w:ascii="Times New Roman" w:hAnsi="Times New Roman" w:eastAsia="仿宋_GB2312"/>
          <w:kern w:val="2"/>
          <w:sz w:val="30"/>
        </w:rPr>
        <w:t>预算中没有使用国有资本经营预算安排的支出。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ascii="Times New Roman" w:hAnsi="Times New Roman" w:eastAsia="黑体"/>
          <w:sz w:val="30"/>
        </w:rPr>
      </w:pPr>
      <w:r>
        <w:rPr>
          <w:rFonts w:hint="eastAsia" w:ascii="Times New Roman" w:hAnsi="Times New Roman" w:eastAsia="黑体"/>
          <w:sz w:val="30"/>
        </w:rPr>
        <w:t>十、其他重要事项的情况说明</w:t>
      </w:r>
    </w:p>
    <w:p>
      <w:pPr>
        <w:spacing w:line="600" w:lineRule="exact"/>
        <w:ind w:left="480"/>
        <w:jc w:val="both"/>
        <w:rPr>
          <w:rFonts w:ascii="Times New Roman" w:hAnsi="Times New Roman" w:eastAsia="楷体"/>
          <w:b/>
          <w:kern w:val="2"/>
          <w:sz w:val="30"/>
        </w:rPr>
      </w:pPr>
      <w:r>
        <w:rPr>
          <w:rFonts w:ascii="Times New Roman" w:hAnsi="Times New Roman" w:eastAsia="楷体"/>
          <w:b/>
          <w:kern w:val="2"/>
          <w:sz w:val="30"/>
        </w:rPr>
        <w:t xml:space="preserve"> </w:t>
      </w:r>
      <w:r>
        <w:rPr>
          <w:rFonts w:hint="eastAsia" w:ascii="Times New Roman" w:hAnsi="Times New Roman" w:eastAsia="楷体"/>
          <w:b/>
          <w:kern w:val="2"/>
          <w:sz w:val="30"/>
        </w:rPr>
        <w:t>（一）机关运行经费。</w:t>
      </w:r>
    </w:p>
    <w:p>
      <w:pPr>
        <w:spacing w:line="560" w:lineRule="exact"/>
        <w:ind w:firstLine="645"/>
        <w:jc w:val="both"/>
        <w:rPr>
          <w:rFonts w:ascii="Times New Roman" w:hAnsi="Times New Roman" w:eastAsia="仿宋_GB2312"/>
          <w:kern w:val="2"/>
          <w:sz w:val="30"/>
        </w:rPr>
      </w:pPr>
      <w:r>
        <w:rPr>
          <w:rFonts w:ascii="Times New Roman" w:hAnsi="Times New Roman" w:eastAsia="仿宋_GB2312"/>
          <w:kern w:val="2"/>
          <w:sz w:val="30"/>
          <w:lang w:val="zh-CN"/>
        </w:rPr>
        <w:t xml:space="preserve"> 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天津博物馆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年未安排机关运行经费预算</w:t>
      </w:r>
      <w:r>
        <w:rPr>
          <w:rFonts w:hint="eastAsia" w:ascii="Times New Roman" w:hAnsi="Times New Roman" w:eastAsia="仿宋_GB2312"/>
          <w:kern w:val="2"/>
          <w:sz w:val="30"/>
          <w:lang w:val="zh-CN"/>
        </w:rPr>
        <w:t>。</w:t>
      </w:r>
    </w:p>
    <w:p>
      <w:pPr>
        <w:spacing w:line="600" w:lineRule="exact"/>
        <w:ind w:firstLine="602"/>
        <w:jc w:val="both"/>
        <w:rPr>
          <w:rFonts w:ascii="Times New Roman" w:hAnsi="Times New Roman" w:eastAsia="Times New Roman"/>
          <w:b/>
          <w:kern w:val="2"/>
          <w:sz w:val="30"/>
        </w:rPr>
      </w:pPr>
      <w:r>
        <w:rPr>
          <w:rFonts w:hint="eastAsia" w:ascii="Times New Roman" w:hAnsi="Times New Roman" w:eastAsia="楷体"/>
          <w:b/>
          <w:kern w:val="2"/>
          <w:sz w:val="30"/>
        </w:rPr>
        <w:t>（二）</w:t>
      </w:r>
      <w:r>
        <w:rPr>
          <w:rFonts w:hint="eastAsia" w:ascii="Times New Roman" w:hAnsi="Times New Roman" w:eastAsia="楷体_GB2312"/>
          <w:b/>
          <w:kern w:val="2"/>
          <w:sz w:val="30"/>
        </w:rPr>
        <w:t>政府采购情况</w:t>
      </w:r>
      <w:r>
        <w:rPr>
          <w:rFonts w:hint="eastAsia" w:ascii="Times New Roman" w:hAnsi="Times New Roman" w:eastAsia="楷体"/>
          <w:b/>
          <w:kern w:val="2"/>
          <w:sz w:val="30"/>
        </w:rPr>
        <w:t>。</w:t>
      </w: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color w:val="000000"/>
          <w:kern w:val="2"/>
          <w:sz w:val="30"/>
        </w:rPr>
      </w:pPr>
      <w:r>
        <w:rPr>
          <w:rFonts w:hint="eastAsia" w:ascii="Times New Roman" w:hAnsi="Times New Roman" w:eastAsia="仿宋_GB2312"/>
          <w:kern w:val="2"/>
          <w:sz w:val="30"/>
        </w:rPr>
        <w:t>本单位</w:t>
      </w:r>
      <w:r>
        <w:rPr>
          <w:rFonts w:ascii="Times New Roman" w:hAnsi="Times New Roman" w:eastAsia="仿宋_GB2312"/>
          <w:kern w:val="2"/>
          <w:sz w:val="30"/>
        </w:rPr>
        <w:t>2025</w:t>
      </w:r>
      <w:r>
        <w:rPr>
          <w:rFonts w:hint="eastAsia" w:ascii="Times New Roman" w:hAnsi="Times New Roman" w:eastAsia="仿宋_GB2312"/>
          <w:kern w:val="2"/>
          <w:sz w:val="30"/>
        </w:rPr>
        <w:t>年安排政府采购预算</w:t>
      </w:r>
      <w:r>
        <w:rPr>
          <w:rFonts w:ascii="Times New Roman" w:hAnsi="Times New Roman" w:eastAsia="仿宋_GB2312"/>
          <w:kern w:val="2"/>
          <w:sz w:val="30"/>
          <w:lang w:val="zh-CN"/>
        </w:rPr>
        <w:t>4,706.4</w:t>
      </w:r>
      <w:r>
        <w:rPr>
          <w:rFonts w:hint="eastAsia" w:ascii="Times New Roman" w:hAnsi="Times New Roman" w:eastAsia="仿宋_GB2312"/>
          <w:kern w:val="2"/>
          <w:sz w:val="30"/>
        </w:rPr>
        <w:t>万元，其中：政府采购货物支出</w:t>
      </w:r>
      <w:r>
        <w:rPr>
          <w:rFonts w:ascii="Times New Roman" w:hAnsi="Times New Roman" w:eastAsia="仿宋_GB2312"/>
          <w:kern w:val="2"/>
          <w:sz w:val="30"/>
          <w:lang w:val="zh-CN"/>
        </w:rPr>
        <w:t>408.6</w:t>
      </w:r>
      <w:r>
        <w:rPr>
          <w:rFonts w:hint="eastAsia" w:ascii="Times New Roman" w:hAnsi="Times New Roman" w:eastAsia="仿宋_GB2312"/>
          <w:kern w:val="2"/>
          <w:sz w:val="30"/>
        </w:rPr>
        <w:t>万元、政府采购工程支出</w:t>
      </w:r>
      <w:r>
        <w:rPr>
          <w:rFonts w:ascii="Times New Roman" w:hAnsi="Times New Roman" w:eastAsia="仿宋_GB2312"/>
          <w:kern w:val="2"/>
          <w:sz w:val="30"/>
          <w:lang w:val="zh-CN"/>
        </w:rPr>
        <w:t>0.0</w:t>
      </w:r>
      <w:r>
        <w:rPr>
          <w:rFonts w:hint="eastAsia" w:ascii="Times New Roman" w:hAnsi="Times New Roman" w:eastAsia="仿宋_GB2312"/>
          <w:kern w:val="2"/>
          <w:sz w:val="30"/>
        </w:rPr>
        <w:t>万元、政府采购服务支出</w:t>
      </w:r>
      <w:r>
        <w:rPr>
          <w:rFonts w:ascii="Times New Roman" w:hAnsi="Times New Roman" w:eastAsia="仿宋_GB2312"/>
          <w:kern w:val="2"/>
          <w:sz w:val="30"/>
          <w:lang w:val="zh-CN"/>
        </w:rPr>
        <w:t>4,297.8</w:t>
      </w:r>
      <w:r>
        <w:rPr>
          <w:rFonts w:hint="eastAsia" w:ascii="Times New Roman" w:hAnsi="Times New Roman" w:eastAsia="仿宋_GB2312"/>
          <w:kern w:val="2"/>
          <w:sz w:val="30"/>
        </w:rPr>
        <w:t>万元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。主要项目是：天津博物馆古籍库房珍贵文物预防性保护项目</w:t>
      </w:r>
      <w:r>
        <w:rPr>
          <w:rFonts w:ascii="Times New Roman" w:hAnsi="Times New Roman" w:eastAsia="仿宋_GB2312"/>
          <w:color w:val="000000"/>
          <w:kern w:val="2"/>
          <w:sz w:val="30"/>
        </w:rPr>
        <w:t>147.3</w:t>
      </w:r>
      <w:r>
        <w:rPr>
          <w:rFonts w:hint="eastAsia" w:ascii="Times New Roman" w:hAnsi="Times New Roman" w:eastAsia="仿宋"/>
          <w:sz w:val="30"/>
        </w:rPr>
        <w:t>万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元，天津博物馆书画陈列展厅（第三展厅）文物预防性保护项目</w:t>
      </w:r>
      <w:r>
        <w:rPr>
          <w:rFonts w:ascii="Times New Roman" w:hAnsi="Times New Roman" w:eastAsia="仿宋_GB2312"/>
          <w:color w:val="000000"/>
          <w:kern w:val="2"/>
          <w:sz w:val="30"/>
        </w:rPr>
        <w:t>195.9</w:t>
      </w:r>
      <w:r>
        <w:rPr>
          <w:rFonts w:hint="eastAsia" w:ascii="Times New Roman" w:hAnsi="Times New Roman" w:eastAsia="仿宋"/>
          <w:sz w:val="30"/>
        </w:rPr>
        <w:t>万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元，中央对地方博物馆纪念馆免费开放补助项目</w:t>
      </w:r>
      <w:r>
        <w:rPr>
          <w:rFonts w:ascii="Times New Roman" w:hAnsi="Times New Roman" w:eastAsia="仿宋_GB2312"/>
          <w:color w:val="000000"/>
          <w:kern w:val="2"/>
          <w:sz w:val="30"/>
        </w:rPr>
        <w:t>830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万元等</w:t>
      </w:r>
      <w:r>
        <w:rPr>
          <w:rFonts w:hint="eastAsia" w:ascii="Times New Roman" w:hAnsi="Times New Roman" w:eastAsia="仿宋_GB2312"/>
          <w:kern w:val="2"/>
          <w:sz w:val="30"/>
        </w:rPr>
        <w:t>。</w:t>
      </w:r>
    </w:p>
    <w:p>
      <w:pPr>
        <w:spacing w:line="600" w:lineRule="exact"/>
        <w:ind w:firstLine="602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（三）国有资产占用情况</w:t>
      </w:r>
      <w:r>
        <w:rPr>
          <w:rFonts w:hint="eastAsia" w:ascii="Times New Roman" w:hAnsi="Times New Roman" w:eastAsia="楷体"/>
          <w:b/>
          <w:kern w:val="2"/>
          <w:sz w:val="30"/>
        </w:rPr>
        <w:t>。</w:t>
      </w:r>
    </w:p>
    <w:p>
      <w:pPr>
        <w:spacing w:line="580" w:lineRule="exact"/>
        <w:ind w:firstLine="600"/>
        <w:jc w:val="both"/>
        <w:rPr>
          <w:rFonts w:ascii="Times New Roman" w:hAnsi="Times New Roman" w:eastAsia="仿宋_GB2312"/>
          <w:color w:val="000000"/>
          <w:kern w:val="2"/>
          <w:sz w:val="30"/>
        </w:rPr>
      </w:pPr>
      <w:r>
        <w:rPr>
          <w:rFonts w:hint="eastAsia" w:ascii="Times New Roman" w:hAnsi="Times New Roman" w:eastAsia="仿宋_GB2312"/>
          <w:color w:val="000000"/>
          <w:kern w:val="2"/>
          <w:sz w:val="30"/>
        </w:rPr>
        <w:t>截至</w:t>
      </w:r>
      <w:r>
        <w:rPr>
          <w:rFonts w:ascii="Times New Roman" w:hAnsi="Times New Roman" w:eastAsia="仿宋_GB2312"/>
          <w:color w:val="000000"/>
          <w:kern w:val="2"/>
          <w:sz w:val="30"/>
        </w:rPr>
        <w:t>2024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年</w:t>
      </w:r>
      <w:r>
        <w:rPr>
          <w:rFonts w:ascii="Times New Roman" w:hAnsi="Times New Roman" w:eastAsia="仿宋_GB2312"/>
          <w:color w:val="000000"/>
          <w:kern w:val="2"/>
          <w:sz w:val="30"/>
        </w:rPr>
        <w:t>7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月底，</w:t>
      </w:r>
      <w:r>
        <w:rPr>
          <w:rFonts w:hint="eastAsia" w:ascii="Times New Roman" w:hAnsi="Times New Roman" w:eastAsia="仿宋_GB2312"/>
          <w:kern w:val="2"/>
          <w:sz w:val="30"/>
        </w:rPr>
        <w:t>本部门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各单位共有车辆</w:t>
      </w:r>
      <w:r>
        <w:rPr>
          <w:rFonts w:ascii="Times New Roman" w:hAnsi="Times New Roman" w:eastAsia="仿宋_GB2312"/>
          <w:color w:val="000000"/>
          <w:kern w:val="2"/>
          <w:sz w:val="30"/>
        </w:rPr>
        <w:t>2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辆，其中：副部（省）级及以上领导用车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0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辆、主要负责人干部用车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0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辆、机要通信用车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0</w:t>
      </w:r>
      <w:r>
        <w:rPr>
          <w:rFonts w:hint="eastAsia" w:ascii="Times New Roman" w:hAnsi="Times New Roman" w:eastAsia="仿宋_GB2312"/>
          <w:kern w:val="2"/>
          <w:sz w:val="30"/>
        </w:rPr>
        <w:t>辆、应急保障用车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0</w:t>
      </w:r>
      <w:r>
        <w:rPr>
          <w:rFonts w:hint="eastAsia" w:ascii="Times New Roman" w:hAnsi="Times New Roman" w:eastAsia="仿宋_GB2312"/>
          <w:kern w:val="2"/>
          <w:sz w:val="30"/>
        </w:rPr>
        <w:t>辆、执法执勤用车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0</w:t>
      </w:r>
      <w:r>
        <w:rPr>
          <w:rFonts w:hint="eastAsia" w:ascii="Times New Roman" w:hAnsi="Times New Roman" w:eastAsia="仿宋_GB2312"/>
          <w:kern w:val="2"/>
          <w:sz w:val="30"/>
        </w:rPr>
        <w:t>辆、特种专业技术用车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0</w:t>
      </w:r>
      <w:r>
        <w:rPr>
          <w:rFonts w:hint="eastAsia" w:ascii="Times New Roman" w:hAnsi="Times New Roman" w:eastAsia="仿宋_GB2312"/>
          <w:kern w:val="2"/>
          <w:sz w:val="30"/>
        </w:rPr>
        <w:t>辆、离退休干部服务用车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0</w:t>
      </w:r>
      <w:r>
        <w:rPr>
          <w:rFonts w:hint="eastAsia" w:ascii="Times New Roman" w:hAnsi="Times New Roman" w:eastAsia="仿宋_GB2312"/>
          <w:kern w:val="2"/>
          <w:sz w:val="30"/>
        </w:rPr>
        <w:t>辆、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其他用车</w:t>
      </w:r>
      <w:r>
        <w:rPr>
          <w:rFonts w:ascii="Times New Roman" w:hAnsi="Times New Roman" w:eastAsia="仿宋_GB2312"/>
          <w:color w:val="000000"/>
          <w:kern w:val="2"/>
          <w:sz w:val="30"/>
        </w:rPr>
        <w:t>2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辆，</w:t>
      </w:r>
      <w:r>
        <w:rPr>
          <w:rFonts w:hint="eastAsia" w:ascii="Times New Roman" w:hAnsi="Times New Roman" w:eastAsia="仿宋_GB2312"/>
          <w:kern w:val="2"/>
          <w:sz w:val="30"/>
        </w:rPr>
        <w:t>其他用车主要包括业务活动用车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。单价（账面原值）</w:t>
      </w:r>
      <w:r>
        <w:rPr>
          <w:rFonts w:ascii="Times New Roman" w:hAnsi="Times New Roman" w:eastAsia="仿宋_GB2312"/>
          <w:color w:val="000000"/>
          <w:kern w:val="2"/>
          <w:sz w:val="30"/>
        </w:rPr>
        <w:t>100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万以上的设备</w:t>
      </w:r>
      <w:r>
        <w:rPr>
          <w:rFonts w:hint="eastAsia" w:eastAsia="仿宋_GB2312"/>
          <w:color w:val="000000"/>
          <w:kern w:val="2"/>
          <w:sz w:val="30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2"/>
          <w:sz w:val="30"/>
        </w:rPr>
        <w:t>台（套）。</w:t>
      </w:r>
    </w:p>
    <w:p>
      <w:pPr>
        <w:spacing w:line="600" w:lineRule="exact"/>
        <w:ind w:firstLine="602"/>
        <w:jc w:val="both"/>
        <w:rPr>
          <w:rFonts w:ascii="Times New Roman" w:hAnsi="Times New Roman" w:eastAsia="Times New Roman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（四）预算绩效情况说明。</w:t>
      </w:r>
    </w:p>
    <w:p>
      <w:pPr>
        <w:spacing w:line="580" w:lineRule="exact"/>
        <w:ind w:left="151" w:firstLine="450"/>
        <w:jc w:val="both"/>
        <w:rPr>
          <w:rFonts w:ascii="Times New Roman" w:hAnsi="Times New Roman" w:eastAsia="黑体"/>
          <w:kern w:val="2"/>
          <w:sz w:val="30"/>
          <w:lang w:val="zh-CN"/>
        </w:rPr>
      </w:pPr>
      <w:r>
        <w:rPr>
          <w:rFonts w:hint="eastAsia" w:ascii="Times New Roman" w:hAnsi="Times New Roman" w:eastAsia="仿宋_GB2312"/>
          <w:color w:val="000000"/>
          <w:kern w:val="2"/>
          <w:sz w:val="30"/>
        </w:rPr>
        <w:t>本单位</w:t>
      </w:r>
      <w:r>
        <w:rPr>
          <w:rFonts w:ascii="Times New Roman" w:hAnsi="Times New Roman" w:eastAsia="仿宋_GB2312"/>
          <w:color w:val="000000"/>
          <w:kern w:val="2"/>
          <w:sz w:val="30"/>
        </w:rPr>
        <w:t>2025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年实行绩效目标管理的项目</w:t>
      </w:r>
      <w:r>
        <w:rPr>
          <w:rFonts w:ascii="Times New Roman" w:hAnsi="Times New Roman" w:eastAsia="仿宋"/>
          <w:kern w:val="2"/>
          <w:sz w:val="30"/>
          <w:lang w:val="zh-CN"/>
        </w:rPr>
        <w:t>20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个，涉及预算金额</w:t>
      </w:r>
      <w:r>
        <w:rPr>
          <w:rFonts w:ascii="Times New Roman" w:hAnsi="Times New Roman" w:eastAsia="仿宋_GB2312"/>
          <w:color w:val="000000"/>
          <w:kern w:val="2"/>
          <w:sz w:val="30"/>
          <w:lang w:val="zh-CN"/>
        </w:rPr>
        <w:t>6,125.3</w:t>
      </w:r>
      <w:r>
        <w:rPr>
          <w:rFonts w:hint="eastAsia" w:ascii="Times New Roman" w:hAnsi="Times New Roman" w:eastAsia="仿宋_GB2312"/>
          <w:color w:val="000000"/>
          <w:kern w:val="2"/>
          <w:sz w:val="30"/>
          <w:lang w:val="zh-CN"/>
        </w:rPr>
        <w:t>万元</w:t>
      </w:r>
      <w:r>
        <w:rPr>
          <w:rFonts w:hint="eastAsia" w:ascii="Times New Roman" w:hAnsi="Times New Roman" w:eastAsia="仿宋_GB2312"/>
          <w:color w:val="000000"/>
          <w:kern w:val="2"/>
          <w:sz w:val="30"/>
        </w:rPr>
        <w:t>。</w:t>
      </w:r>
    </w:p>
    <w:p>
      <w:pPr>
        <w:spacing w:line="580" w:lineRule="exact"/>
        <w:jc w:val="both"/>
        <w:rPr>
          <w:rFonts w:ascii="Times New Roman" w:hAnsi="Times New Roman" w:eastAsia="黑体"/>
          <w:kern w:val="2"/>
          <w:sz w:val="30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b/>
          <w:kern w:val="44"/>
          <w:sz w:val="44"/>
          <w:lang w:val="zh-CN"/>
        </w:rPr>
      </w:pPr>
    </w:p>
    <w:p>
      <w:pPr>
        <w:spacing w:line="580" w:lineRule="exact"/>
        <w:jc w:val="center"/>
        <w:rPr>
          <w:rFonts w:ascii="Times New Roman" w:hAnsi="Times New Roman" w:eastAsia="黑体"/>
          <w:b/>
          <w:kern w:val="2"/>
          <w:sz w:val="44"/>
        </w:rPr>
      </w:pPr>
      <w:r>
        <w:rPr>
          <w:rFonts w:hint="eastAsia" w:ascii="Times New Roman" w:hAnsi="Times New Roman" w:eastAsia="方正小标宋简体"/>
          <w:b/>
          <w:kern w:val="44"/>
          <w:sz w:val="44"/>
          <w:lang w:val="zh-CN"/>
        </w:rPr>
        <w:br w:type="page"/>
      </w:r>
      <w:r>
        <w:rPr>
          <w:rFonts w:hint="eastAsia" w:ascii="Times New Roman" w:hAnsi="Times New Roman" w:eastAsia="方正小标宋简体"/>
          <w:b/>
          <w:kern w:val="44"/>
          <w:sz w:val="44"/>
          <w:lang w:val="zh-CN"/>
        </w:rPr>
        <w:t>第三部分</w:t>
      </w:r>
      <w:r>
        <w:rPr>
          <w:rFonts w:ascii="Times New Roman" w:hAnsi="Times New Roman" w:eastAsia="黑体"/>
          <w:b/>
          <w:kern w:val="2"/>
          <w:sz w:val="44"/>
        </w:rPr>
        <w:t xml:space="preserve">  </w:t>
      </w:r>
      <w:r>
        <w:rPr>
          <w:rFonts w:hint="eastAsia" w:ascii="Times New Roman" w:hAnsi="Times New Roman" w:eastAsia="方正小标宋简体"/>
          <w:b/>
          <w:kern w:val="44"/>
          <w:sz w:val="44"/>
        </w:rPr>
        <w:t>名词解释</w:t>
      </w:r>
    </w:p>
    <w:p>
      <w:pPr>
        <w:spacing w:line="600" w:lineRule="exact"/>
        <w:ind w:firstLine="600"/>
        <w:jc w:val="both"/>
        <w:rPr>
          <w:rFonts w:ascii="Times New Roman" w:hAnsi="Times New Roman" w:eastAsia="仿宋_GB2312"/>
          <w:kern w:val="2"/>
          <w:sz w:val="30"/>
        </w:rPr>
      </w:pPr>
    </w:p>
    <w:p>
      <w:pPr>
        <w:spacing w:line="580" w:lineRule="exact"/>
        <w:ind w:firstLine="600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 w:eastAsia="仿宋_GB2312"/>
          <w:sz w:val="30"/>
        </w:rPr>
        <w:t>1.</w:t>
      </w:r>
      <w:r>
        <w:rPr>
          <w:rFonts w:hint="eastAsia" w:ascii="Times New Roman" w:hAnsi="Times New Roman" w:eastAsia="仿宋_GB2312"/>
          <w:sz w:val="30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80" w:lineRule="exact"/>
        <w:ind w:firstLine="600"/>
        <w:rPr>
          <w:rFonts w:ascii="Times New Roman" w:hAnsi="Times New Roman" w:eastAsia="仿宋_GB2312"/>
          <w:sz w:val="30"/>
        </w:rPr>
      </w:pPr>
      <w:r>
        <w:rPr>
          <w:rFonts w:ascii="Times New Roman" w:hAnsi="Times New Roman" w:eastAsia="仿宋_GB2312"/>
          <w:sz w:val="30"/>
        </w:rPr>
        <w:t xml:space="preserve">2. </w:t>
      </w:r>
      <w:r>
        <w:rPr>
          <w:rFonts w:hint="eastAsia" w:ascii="Times New Roman" w:hAnsi="Times New Roman" w:eastAsia="仿宋_GB2312"/>
          <w:sz w:val="30"/>
        </w:rPr>
        <w:t>机关运行经费。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580" w:lineRule="exact"/>
        <w:ind w:firstLine="600"/>
        <w:jc w:val="both"/>
        <w:rPr>
          <w:rFonts w:ascii="Times New Roman" w:hAnsi="Times New Roman"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楷体_GB2312"/>
          <w:kern w:val="2"/>
          <w:sz w:val="30"/>
        </w:rPr>
      </w:pPr>
    </w:p>
    <w:p>
      <w:pPr>
        <w:spacing w:line="580" w:lineRule="exact"/>
        <w:jc w:val="both"/>
        <w:rPr>
          <w:rFonts w:ascii="Times New Roman" w:hAnsi="Times New Roman" w:eastAsia="楷体_GB2312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</w:p>
    <w:p>
      <w:pPr>
        <w:spacing w:line="580" w:lineRule="exact"/>
        <w:ind w:firstLine="600"/>
        <w:jc w:val="both"/>
        <w:rPr>
          <w:rFonts w:ascii="Times New Roman" w:hAnsi="Times New Roman" w:eastAsia="Times New Roman"/>
          <w:kern w:val="2"/>
          <w:sz w:val="30"/>
        </w:rPr>
      </w:pPr>
    </w:p>
    <w:p>
      <w:pPr>
        <w:spacing w:line="580" w:lineRule="exact"/>
        <w:jc w:val="center"/>
        <w:rPr>
          <w:rFonts w:ascii="Times New Roman" w:hAnsi="Times New Roman" w:eastAsia="黑体"/>
          <w:b/>
          <w:kern w:val="2"/>
          <w:sz w:val="44"/>
        </w:rPr>
      </w:pPr>
      <w:r>
        <w:rPr>
          <w:rFonts w:hint="eastAsia" w:ascii="Times New Roman" w:hAnsi="Times New Roman" w:eastAsia="方正小标宋简体"/>
          <w:b/>
          <w:kern w:val="44"/>
          <w:sz w:val="44"/>
          <w:lang w:val="zh-CN"/>
        </w:rPr>
        <w:t>第四部分</w:t>
      </w:r>
      <w:r>
        <w:rPr>
          <w:rFonts w:ascii="Times New Roman" w:hAnsi="Times New Roman" w:eastAsia="黑体"/>
          <w:b/>
          <w:kern w:val="2"/>
          <w:sz w:val="44"/>
        </w:rPr>
        <w:t xml:space="preserve">  </w:t>
      </w:r>
      <w:r>
        <w:rPr>
          <w:rFonts w:ascii="Times New Roman" w:hAnsi="Times New Roman" w:eastAsia="方正小标宋简体"/>
          <w:b/>
          <w:kern w:val="44"/>
          <w:sz w:val="44"/>
        </w:rPr>
        <w:t>2025</w:t>
      </w:r>
      <w:r>
        <w:rPr>
          <w:rFonts w:hint="eastAsia" w:ascii="Times New Roman" w:hAnsi="Times New Roman" w:eastAsia="方正小标宋简体"/>
          <w:b/>
          <w:kern w:val="44"/>
          <w:sz w:val="44"/>
        </w:rPr>
        <w:t>年单位预算表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一、《收支总体情况表》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二、《收入总体情况表》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三、《支出总体情况表》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四、《财政拨款收支总体情况表》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五、《一般公共预算支出情况表》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六、《一般公共预算基本支出情况表》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七、《一般公共预算“三公”经费支出情况表》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八、《政府性基金预算支出情况表》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九、《国有资本经营预算支出情况表》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十、《项目支出表》</w:t>
      </w:r>
    </w:p>
    <w:p>
      <w:pPr>
        <w:spacing w:line="560" w:lineRule="exact"/>
        <w:ind w:left="480"/>
        <w:jc w:val="both"/>
        <w:rPr>
          <w:rFonts w:ascii="Times New Roman" w:hAnsi="Times New Roman" w:eastAsia="楷体_GB2312"/>
          <w:b/>
          <w:kern w:val="2"/>
          <w:sz w:val="30"/>
        </w:rPr>
      </w:pPr>
      <w:r>
        <w:rPr>
          <w:rFonts w:hint="eastAsia" w:ascii="Times New Roman" w:hAnsi="Times New Roman" w:eastAsia="楷体_GB2312"/>
          <w:b/>
          <w:kern w:val="2"/>
          <w:sz w:val="30"/>
        </w:rPr>
        <w:t>十一、关于空表的说明</w:t>
      </w:r>
      <w:r>
        <w:rPr>
          <w:rFonts w:ascii="Times New Roman" w:hAnsi="Times New Roman" w:eastAsia="楷体_GB2312"/>
          <w:b/>
          <w:kern w:val="2"/>
          <w:sz w:val="30"/>
        </w:rPr>
        <w:tab/>
      </w:r>
    </w:p>
    <w:p>
      <w:pPr>
        <w:spacing w:line="560" w:lineRule="exact"/>
        <w:ind w:firstLine="600"/>
        <w:rPr>
          <w:rFonts w:ascii="Times New Roman" w:hAnsi="Times New Roman" w:eastAsia="楷体_GB2312"/>
          <w:sz w:val="30"/>
        </w:rPr>
      </w:pPr>
      <w:r>
        <w:rPr>
          <w:rFonts w:ascii="Times New Roman" w:hAnsi="Times New Roman" w:eastAsia="楷体_GB2312"/>
          <w:sz w:val="30"/>
        </w:rPr>
        <w:t>1.</w:t>
      </w:r>
      <w:r>
        <w:rPr>
          <w:rFonts w:hint="eastAsia" w:ascii="Times New Roman" w:hAnsi="Times New Roman" w:eastAsia="楷体_GB2312"/>
          <w:sz w:val="30"/>
          <w:lang w:val="zh-CN"/>
        </w:rPr>
        <w:t>天津博物馆</w:t>
      </w:r>
      <w:r>
        <w:rPr>
          <w:rFonts w:ascii="Times New Roman" w:hAnsi="Times New Roman" w:eastAsia="楷体_GB2312"/>
          <w:sz w:val="30"/>
        </w:rPr>
        <w:t>2025</w:t>
      </w:r>
      <w:r>
        <w:rPr>
          <w:rFonts w:hint="eastAsia" w:ascii="Times New Roman" w:hAnsi="Times New Roman" w:eastAsia="楷体_GB2312"/>
          <w:sz w:val="30"/>
        </w:rPr>
        <w:t>年政府性基金预算支出情况表为空表。</w:t>
      </w:r>
    </w:p>
    <w:p>
      <w:pPr>
        <w:spacing w:line="560" w:lineRule="exact"/>
        <w:ind w:firstLine="600"/>
        <w:rPr>
          <w:rFonts w:ascii="Times New Roman" w:hAnsi="Times New Roman" w:eastAsia="楷体_GB2312"/>
          <w:sz w:val="30"/>
          <w:lang w:val="zh-CN"/>
        </w:rPr>
      </w:pPr>
      <w:r>
        <w:rPr>
          <w:rFonts w:ascii="Times New Roman" w:hAnsi="Times New Roman" w:eastAsia="楷体_GB2312"/>
          <w:sz w:val="30"/>
        </w:rPr>
        <w:t>2.</w:t>
      </w:r>
      <w:r>
        <w:rPr>
          <w:rFonts w:hint="eastAsia" w:ascii="Times New Roman" w:hAnsi="Times New Roman" w:eastAsia="楷体_GB2312"/>
          <w:sz w:val="30"/>
          <w:lang w:val="zh-CN"/>
        </w:rPr>
        <w:t>天津博物馆</w:t>
      </w:r>
      <w:r>
        <w:rPr>
          <w:rFonts w:ascii="Times New Roman" w:hAnsi="Times New Roman" w:eastAsia="楷体_GB2312"/>
          <w:sz w:val="30"/>
        </w:rPr>
        <w:t>2025</w:t>
      </w:r>
      <w:r>
        <w:rPr>
          <w:rFonts w:hint="eastAsia" w:ascii="Times New Roman" w:hAnsi="Times New Roman" w:eastAsia="楷体_GB2312"/>
          <w:sz w:val="30"/>
        </w:rPr>
        <w:t>年国有资本经营预算支出情况表为空表。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NotTrackMoves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800"/>
  <w:drawingGridVerticalOrigin w:val="1440"/>
  <w:doNotShadeFormData w:val="true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NhNDZkNWE3ZDllM2YxMmIyNmJkNzU0ZWVhODU3NTYifQ=="/>
  </w:docVars>
  <w:rsids>
    <w:rsidRoot w:val="009F12DC"/>
    <w:rsid w:val="0003616A"/>
    <w:rsid w:val="001132FC"/>
    <w:rsid w:val="00124D4F"/>
    <w:rsid w:val="00594605"/>
    <w:rsid w:val="009F12DC"/>
    <w:rsid w:val="00A65676"/>
    <w:rsid w:val="00C73D16"/>
    <w:rsid w:val="0839768F"/>
    <w:rsid w:val="0A5767DF"/>
    <w:rsid w:val="240B5B91"/>
    <w:rsid w:val="27DB3937"/>
    <w:rsid w:val="33463F63"/>
    <w:rsid w:val="36B20D45"/>
    <w:rsid w:val="4A026C12"/>
    <w:rsid w:val="4F7571EA"/>
    <w:rsid w:val="53992532"/>
    <w:rsid w:val="7A9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9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iPriority="99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outlineLvl w:val="0"/>
    </w:pPr>
  </w:style>
  <w:style w:type="paragraph" w:styleId="4">
    <w:name w:val="heading 2"/>
    <w:basedOn w:val="1"/>
    <w:next w:val="1"/>
    <w:link w:val="11"/>
    <w:qFormat/>
    <w:uiPriority w:val="99"/>
    <w:pPr>
      <w:outlineLvl w:val="1"/>
    </w:p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link w:val="13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qFormat/>
    <w:uiPriority w:val="9"/>
    <w:rPr>
      <w:rFonts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4"/>
    <w:semiHidden/>
    <w:qFormat/>
    <w:uiPriority w:val="9"/>
    <w:rPr>
      <w:rFonts w:ascii="等线 Light" w:hAnsi="等线 Light" w:eastAsia="等线 Light" w:cs="Times New Roman"/>
      <w:b/>
      <w:bCs/>
      <w:kern w:val="0"/>
      <w:sz w:val="32"/>
      <w:szCs w:val="32"/>
    </w:rPr>
  </w:style>
  <w:style w:type="character" w:customStyle="1" w:styleId="12">
    <w:name w:val="正文文本缩进 字符"/>
    <w:link w:val="5"/>
    <w:semiHidden/>
    <w:qFormat/>
    <w:uiPriority w:val="99"/>
    <w:rPr>
      <w:rFonts w:cs="Times New Roman"/>
      <w:kern w:val="0"/>
      <w:sz w:val="24"/>
      <w:szCs w:val="24"/>
    </w:rPr>
  </w:style>
  <w:style w:type="character" w:customStyle="1" w:styleId="13">
    <w:name w:val="正文文本首行缩进 2 字符"/>
    <w:link w:val="2"/>
    <w:semiHidden/>
    <w:qFormat/>
    <w:uiPriority w:val="99"/>
  </w:style>
  <w:style w:type="character" w:customStyle="1" w:styleId="14">
    <w:name w:val="页眉 字符"/>
    <w:link w:val="7"/>
    <w:qFormat/>
    <w:uiPriority w:val="99"/>
    <w:rPr>
      <w:sz w:val="18"/>
      <w:szCs w:val="18"/>
    </w:rPr>
  </w:style>
  <w:style w:type="character" w:customStyle="1" w:styleId="15">
    <w:name w:val="页脚 字符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672</Words>
  <Characters>3835</Characters>
  <Lines>31</Lines>
  <Paragraphs>8</Paragraphs>
  <TotalTime>3</TotalTime>
  <ScaleCrop>false</ScaleCrop>
  <LinksUpToDate>false</LinksUpToDate>
  <CharactersWithSpaces>4499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2025-02-20T16:55:00Z</dcterms:created>
  <dc:creator>user</dc:creator>
  <cp:lastModifiedBy>kylin</cp:lastModifiedBy>
  <dcterms:modified xsi:type="dcterms:W3CDTF">2025-02-24T14:07:22Z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